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6B65" w14:textId="12C5C656" w:rsidR="00905464" w:rsidRPr="00A444B7" w:rsidRDefault="00AE2395" w:rsidP="00A444B7">
      <w:pPr>
        <w:spacing w:after="160"/>
        <w:jc w:val="center"/>
        <w:rPr>
          <w:rFonts w:ascii="Times New Roman" w:hAnsi="Times New Roman" w:cs="Times New Roman"/>
          <w:b/>
          <w:iCs/>
          <w:sz w:val="24"/>
          <w:szCs w:val="24"/>
        </w:rPr>
      </w:pPr>
      <w:bookmarkStart w:id="0" w:name="_GoBack"/>
      <w:bookmarkEnd w:id="0"/>
      <w:r w:rsidRPr="00A444B7">
        <w:rPr>
          <w:rFonts w:ascii="Times New Roman" w:hAnsi="Times New Roman" w:cs="Times New Roman"/>
          <w:b/>
          <w:iCs/>
          <w:sz w:val="24"/>
          <w:szCs w:val="24"/>
        </w:rPr>
        <w:t>NIL/TU</w:t>
      </w:r>
      <w:r w:rsidRPr="00A444B7">
        <w:rPr>
          <w:rFonts w:ascii="Times New Roman" w:hAnsi="Times New Roman" w:cs="Times New Roman"/>
          <w:b/>
          <w:iCs/>
          <w:noProof/>
          <w:sz w:val="24"/>
          <w:szCs w:val="24"/>
        </w:rPr>
        <w:t>,O</w:t>
      </w:r>
      <w:r w:rsidRPr="00A444B7">
        <w:rPr>
          <w:rFonts w:ascii="Times New Roman" w:hAnsi="Times New Roman" w:cs="Times New Roman"/>
          <w:b/>
          <w:iCs/>
          <w:sz w:val="24"/>
          <w:szCs w:val="24"/>
        </w:rPr>
        <w:t xml:space="preserve"> Chil</w:t>
      </w:r>
      <w:r w:rsidR="00876E94" w:rsidRPr="00A444B7">
        <w:rPr>
          <w:rFonts w:ascii="Times New Roman" w:hAnsi="Times New Roman" w:cs="Times New Roman"/>
          <w:b/>
          <w:iCs/>
          <w:sz w:val="24"/>
          <w:szCs w:val="24"/>
        </w:rPr>
        <w:t>d and Family Services Society</w:t>
      </w:r>
      <w:r w:rsidR="00724C27" w:rsidRPr="00A444B7">
        <w:rPr>
          <w:rFonts w:ascii="Times New Roman" w:hAnsi="Times New Roman" w:cs="Times New Roman"/>
          <w:b/>
          <w:iCs/>
          <w:sz w:val="24"/>
          <w:szCs w:val="24"/>
        </w:rPr>
        <w:t xml:space="preserve"> (Appellant)</w:t>
      </w:r>
    </w:p>
    <w:p w14:paraId="5FEF162E" w14:textId="5E33567A" w:rsidR="00905464" w:rsidRPr="00A444B7" w:rsidRDefault="00876E94" w:rsidP="00A444B7">
      <w:pPr>
        <w:spacing w:after="160"/>
        <w:jc w:val="center"/>
        <w:rPr>
          <w:rFonts w:ascii="Times New Roman" w:hAnsi="Times New Roman" w:cs="Times New Roman"/>
          <w:b/>
          <w:iCs/>
          <w:sz w:val="24"/>
          <w:szCs w:val="24"/>
        </w:rPr>
      </w:pPr>
      <w:r w:rsidRPr="00A444B7">
        <w:rPr>
          <w:rFonts w:ascii="Times New Roman" w:hAnsi="Times New Roman" w:cs="Times New Roman"/>
          <w:b/>
          <w:iCs/>
          <w:sz w:val="24"/>
          <w:szCs w:val="24"/>
        </w:rPr>
        <w:t>v</w:t>
      </w:r>
    </w:p>
    <w:p w14:paraId="7C5EA556" w14:textId="3D57E13A" w:rsidR="00905464" w:rsidRPr="00A444B7" w:rsidRDefault="00AE2395" w:rsidP="00684B3E">
      <w:pPr>
        <w:jc w:val="center"/>
        <w:rPr>
          <w:rFonts w:ascii="Times New Roman" w:hAnsi="Times New Roman" w:cs="Times New Roman"/>
          <w:b/>
          <w:iCs/>
          <w:sz w:val="24"/>
          <w:szCs w:val="24"/>
        </w:rPr>
      </w:pPr>
      <w:r w:rsidRPr="00A444B7">
        <w:rPr>
          <w:rFonts w:ascii="Times New Roman" w:hAnsi="Times New Roman" w:cs="Times New Roman"/>
          <w:b/>
          <w:iCs/>
          <w:sz w:val="24"/>
          <w:szCs w:val="24"/>
        </w:rPr>
        <w:t>B.C. Government and Service Employees</w:t>
      </w:r>
      <w:r w:rsidR="003D2C7C">
        <w:rPr>
          <w:rFonts w:ascii="Times New Roman" w:hAnsi="Times New Roman" w:cs="Times New Roman"/>
          <w:b/>
          <w:iCs/>
          <w:sz w:val="24"/>
          <w:szCs w:val="24"/>
        </w:rPr>
        <w:t>’</w:t>
      </w:r>
      <w:r w:rsidRPr="00A444B7">
        <w:rPr>
          <w:rFonts w:ascii="Times New Roman" w:hAnsi="Times New Roman" w:cs="Times New Roman"/>
          <w:b/>
          <w:iCs/>
          <w:sz w:val="24"/>
          <w:szCs w:val="24"/>
        </w:rPr>
        <w:t xml:space="preserve"> Union</w:t>
      </w:r>
      <w:r w:rsidR="00F33146" w:rsidRPr="00A444B7">
        <w:rPr>
          <w:rFonts w:ascii="Times New Roman" w:hAnsi="Times New Roman" w:cs="Times New Roman"/>
          <w:b/>
          <w:iCs/>
          <w:sz w:val="24"/>
          <w:szCs w:val="24"/>
        </w:rPr>
        <w:t>;</w:t>
      </w:r>
      <w:r w:rsidR="00724C27" w:rsidRPr="00A444B7">
        <w:rPr>
          <w:rFonts w:ascii="Times New Roman" w:hAnsi="Times New Roman" w:cs="Times New Roman"/>
          <w:b/>
          <w:iCs/>
          <w:sz w:val="24"/>
          <w:szCs w:val="24"/>
        </w:rPr>
        <w:t xml:space="preserve"> (Respondent)</w:t>
      </w:r>
    </w:p>
    <w:p w14:paraId="6874065B" w14:textId="4E0BC573" w:rsidR="00F33146" w:rsidRPr="00A444B7" w:rsidRDefault="00F33146" w:rsidP="00684B3E">
      <w:pPr>
        <w:jc w:val="center"/>
        <w:rPr>
          <w:rFonts w:ascii="Times New Roman" w:hAnsi="Times New Roman" w:cs="Times New Roman"/>
          <w:b/>
          <w:iCs/>
          <w:sz w:val="24"/>
          <w:szCs w:val="24"/>
        </w:rPr>
      </w:pPr>
    </w:p>
    <w:p w14:paraId="010645EF" w14:textId="77777777" w:rsidR="00F33146" w:rsidRPr="00A444B7" w:rsidRDefault="00F33146" w:rsidP="00684B3E">
      <w:pPr>
        <w:jc w:val="center"/>
        <w:rPr>
          <w:rFonts w:ascii="Times New Roman" w:hAnsi="Times New Roman" w:cs="Times New Roman"/>
          <w:b/>
          <w:iCs/>
          <w:sz w:val="24"/>
          <w:szCs w:val="24"/>
        </w:rPr>
      </w:pPr>
      <w:r w:rsidRPr="00A444B7">
        <w:rPr>
          <w:rFonts w:ascii="Times New Roman" w:hAnsi="Times New Roman" w:cs="Times New Roman"/>
          <w:b/>
          <w:iCs/>
          <w:sz w:val="24"/>
          <w:szCs w:val="24"/>
        </w:rPr>
        <w:t>and</w:t>
      </w:r>
    </w:p>
    <w:p w14:paraId="1966FA10" w14:textId="206B4A37" w:rsidR="00F33146" w:rsidRPr="00A444B7" w:rsidRDefault="00F33146" w:rsidP="00684B3E">
      <w:pPr>
        <w:jc w:val="center"/>
        <w:rPr>
          <w:rFonts w:ascii="Times New Roman" w:hAnsi="Times New Roman" w:cs="Times New Roman"/>
          <w:b/>
          <w:iCs/>
          <w:sz w:val="24"/>
          <w:szCs w:val="24"/>
        </w:rPr>
      </w:pPr>
    </w:p>
    <w:p w14:paraId="6A5C537F" w14:textId="786B5F2D" w:rsidR="00F33146" w:rsidRPr="00A444B7" w:rsidRDefault="00F33146" w:rsidP="00A444B7">
      <w:pPr>
        <w:spacing w:after="160"/>
        <w:jc w:val="center"/>
        <w:rPr>
          <w:rFonts w:ascii="Times New Roman" w:hAnsi="Times New Roman" w:cs="Times New Roman"/>
          <w:b/>
          <w:iCs/>
          <w:sz w:val="24"/>
          <w:szCs w:val="24"/>
        </w:rPr>
      </w:pPr>
      <w:r w:rsidRPr="00A444B7">
        <w:rPr>
          <w:rFonts w:ascii="Times New Roman" w:hAnsi="Times New Roman" w:cs="Times New Roman"/>
          <w:b/>
          <w:iCs/>
          <w:sz w:val="24"/>
          <w:szCs w:val="24"/>
        </w:rPr>
        <w:t xml:space="preserve">Communications, Energy and </w:t>
      </w:r>
      <w:proofErr w:type="spellStart"/>
      <w:r w:rsidRPr="00A444B7">
        <w:rPr>
          <w:rFonts w:ascii="Times New Roman" w:hAnsi="Times New Roman" w:cs="Times New Roman"/>
          <w:b/>
          <w:iCs/>
          <w:sz w:val="24"/>
          <w:szCs w:val="24"/>
        </w:rPr>
        <w:t>Paperworkers</w:t>
      </w:r>
      <w:proofErr w:type="spellEnd"/>
      <w:r w:rsidRPr="00A444B7">
        <w:rPr>
          <w:rFonts w:ascii="Times New Roman" w:hAnsi="Times New Roman" w:cs="Times New Roman"/>
          <w:b/>
          <w:iCs/>
          <w:sz w:val="24"/>
          <w:szCs w:val="24"/>
        </w:rPr>
        <w:t xml:space="preserve"> Union of Canada</w:t>
      </w:r>
      <w:r w:rsidR="00724C27" w:rsidRPr="00A444B7">
        <w:rPr>
          <w:rFonts w:ascii="Times New Roman" w:hAnsi="Times New Roman" w:cs="Times New Roman"/>
          <w:b/>
          <w:iCs/>
          <w:sz w:val="24"/>
          <w:szCs w:val="24"/>
        </w:rPr>
        <w:t xml:space="preserve"> (Appellant)</w:t>
      </w:r>
    </w:p>
    <w:p w14:paraId="4F7490FE" w14:textId="72896613" w:rsidR="00F33146" w:rsidRPr="00A444B7" w:rsidRDefault="00F33146" w:rsidP="00A444B7">
      <w:pPr>
        <w:spacing w:after="160"/>
        <w:jc w:val="center"/>
        <w:rPr>
          <w:rFonts w:ascii="Times New Roman" w:hAnsi="Times New Roman" w:cs="Times New Roman"/>
          <w:b/>
          <w:iCs/>
          <w:sz w:val="24"/>
          <w:szCs w:val="24"/>
        </w:rPr>
      </w:pPr>
      <w:r w:rsidRPr="00A444B7">
        <w:rPr>
          <w:rFonts w:ascii="Times New Roman" w:hAnsi="Times New Roman" w:cs="Times New Roman"/>
          <w:b/>
          <w:iCs/>
          <w:sz w:val="24"/>
          <w:szCs w:val="24"/>
        </w:rPr>
        <w:t xml:space="preserve"> v</w:t>
      </w:r>
    </w:p>
    <w:p w14:paraId="4F0AE271" w14:textId="10BDA1F1" w:rsidR="00F33146" w:rsidRDefault="00F33146" w:rsidP="00684B3E">
      <w:pPr>
        <w:jc w:val="center"/>
        <w:rPr>
          <w:rFonts w:ascii="Times New Roman" w:hAnsi="Times New Roman" w:cs="Times New Roman"/>
          <w:b/>
          <w:iCs/>
          <w:sz w:val="24"/>
          <w:szCs w:val="24"/>
        </w:rPr>
      </w:pPr>
      <w:r w:rsidRPr="00A444B7">
        <w:rPr>
          <w:rFonts w:ascii="Times New Roman" w:hAnsi="Times New Roman" w:cs="Times New Roman"/>
          <w:b/>
          <w:iCs/>
          <w:sz w:val="24"/>
          <w:szCs w:val="24"/>
        </w:rPr>
        <w:t xml:space="preserve"> Native Child and Family Services of Toronto</w:t>
      </w:r>
      <w:r w:rsidR="00724C27" w:rsidRPr="00A444B7">
        <w:rPr>
          <w:rFonts w:ascii="Times New Roman" w:hAnsi="Times New Roman" w:cs="Times New Roman"/>
          <w:b/>
          <w:iCs/>
          <w:sz w:val="24"/>
          <w:szCs w:val="24"/>
        </w:rPr>
        <w:t xml:space="preserve"> (Respondent)</w:t>
      </w:r>
    </w:p>
    <w:p w14:paraId="55FA476F" w14:textId="7D933F98" w:rsidR="00980733" w:rsidRDefault="00980733" w:rsidP="00684B3E">
      <w:pPr>
        <w:jc w:val="center"/>
        <w:rPr>
          <w:rFonts w:ascii="Times New Roman" w:hAnsi="Times New Roman" w:cs="Times New Roman"/>
          <w:b/>
          <w:iCs/>
          <w:sz w:val="24"/>
          <w:szCs w:val="24"/>
        </w:rPr>
      </w:pPr>
    </w:p>
    <w:p w14:paraId="14FB94FF" w14:textId="03607CEF" w:rsidR="00980733" w:rsidRDefault="00980733" w:rsidP="00684B3E">
      <w:pPr>
        <w:jc w:val="center"/>
        <w:rPr>
          <w:rFonts w:ascii="Times New Roman" w:hAnsi="Times New Roman" w:cs="Times New Roman"/>
          <w:b/>
          <w:iCs/>
          <w:sz w:val="24"/>
          <w:szCs w:val="24"/>
        </w:rPr>
      </w:pPr>
      <w:r>
        <w:rPr>
          <w:rFonts w:ascii="Times New Roman" w:hAnsi="Times New Roman" w:cs="Times New Roman"/>
          <w:b/>
          <w:iCs/>
          <w:sz w:val="24"/>
          <w:szCs w:val="24"/>
        </w:rPr>
        <w:t>and</w:t>
      </w:r>
    </w:p>
    <w:p w14:paraId="014A231F" w14:textId="27A58FA1" w:rsidR="00980733" w:rsidRDefault="00980733" w:rsidP="00684B3E">
      <w:pPr>
        <w:jc w:val="center"/>
        <w:rPr>
          <w:rFonts w:ascii="Times New Roman" w:hAnsi="Times New Roman" w:cs="Times New Roman"/>
          <w:b/>
          <w:iCs/>
          <w:sz w:val="24"/>
          <w:szCs w:val="24"/>
        </w:rPr>
      </w:pPr>
    </w:p>
    <w:p w14:paraId="5774049A" w14:textId="7C54F950"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Attorney General of Canada, Attorney General of</w:t>
      </w:r>
    </w:p>
    <w:p w14:paraId="18E15BCB" w14:textId="48068651"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Ontario, Attorney General of Quebec, Attorney General</w:t>
      </w:r>
    </w:p>
    <w:p w14:paraId="188B380A" w14:textId="7EC95843"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of New Brunswick, Attorney General of Manitoba,</w:t>
      </w:r>
    </w:p>
    <w:p w14:paraId="2FF1A170" w14:textId="6F5E94E6"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Attorney General of British Columbia, Attorney General</w:t>
      </w:r>
    </w:p>
    <w:p w14:paraId="63CB1C4E" w14:textId="35E926A0"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for Saskatchewan, British Columbia Labour Relations</w:t>
      </w:r>
    </w:p>
    <w:p w14:paraId="0209B548" w14:textId="39E261DE"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 xml:space="preserve">Board, Canadian Human Rights Commission, </w:t>
      </w:r>
      <w:proofErr w:type="spellStart"/>
      <w:r w:rsidRPr="00980733">
        <w:rPr>
          <w:rFonts w:ascii="Times New Roman" w:hAnsi="Times New Roman" w:cs="Times New Roman"/>
          <w:b/>
          <w:bCs/>
          <w:iCs/>
          <w:sz w:val="24"/>
          <w:szCs w:val="24"/>
        </w:rPr>
        <w:t>Kwumut</w:t>
      </w:r>
      <w:proofErr w:type="spellEnd"/>
    </w:p>
    <w:p w14:paraId="497C2F92" w14:textId="434E6302" w:rsidR="00980733" w:rsidRPr="00980733" w:rsidRDefault="00980733" w:rsidP="00980733">
      <w:pPr>
        <w:jc w:val="center"/>
        <w:rPr>
          <w:rFonts w:ascii="Times New Roman" w:hAnsi="Times New Roman" w:cs="Times New Roman"/>
          <w:b/>
          <w:iCs/>
          <w:sz w:val="24"/>
          <w:szCs w:val="24"/>
        </w:rPr>
      </w:pPr>
      <w:proofErr w:type="spellStart"/>
      <w:r w:rsidRPr="00980733">
        <w:rPr>
          <w:rFonts w:ascii="Times New Roman" w:hAnsi="Times New Roman" w:cs="Times New Roman"/>
          <w:b/>
          <w:bCs/>
          <w:iCs/>
          <w:sz w:val="24"/>
          <w:szCs w:val="24"/>
        </w:rPr>
        <w:t>Lelum</w:t>
      </w:r>
      <w:proofErr w:type="spellEnd"/>
      <w:r w:rsidRPr="00980733">
        <w:rPr>
          <w:rFonts w:ascii="Times New Roman" w:hAnsi="Times New Roman" w:cs="Times New Roman"/>
          <w:b/>
          <w:bCs/>
          <w:iCs/>
          <w:sz w:val="24"/>
          <w:szCs w:val="24"/>
        </w:rPr>
        <w:t xml:space="preserve"> Child and Family Services Society, Mohawk</w:t>
      </w:r>
    </w:p>
    <w:p w14:paraId="3C39D885" w14:textId="790A6001"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Council of Akwesasne, Assembly of the First Nations of</w:t>
      </w:r>
    </w:p>
    <w:p w14:paraId="1234470D" w14:textId="232B58B4"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Quebec and Labrador, First Nations of Quebec and</w:t>
      </w:r>
    </w:p>
    <w:p w14:paraId="7A96844D" w14:textId="25BA354C"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Labrador Health and Social Services Commission, First</w:t>
      </w:r>
    </w:p>
    <w:p w14:paraId="7B5E8238" w14:textId="04FC1530" w:rsidR="00980733" w:rsidRPr="00980733" w:rsidRDefault="00980733" w:rsidP="00980733">
      <w:pPr>
        <w:jc w:val="center"/>
        <w:rPr>
          <w:rFonts w:ascii="Times New Roman" w:hAnsi="Times New Roman" w:cs="Times New Roman"/>
          <w:b/>
          <w:iCs/>
          <w:sz w:val="24"/>
          <w:szCs w:val="24"/>
        </w:rPr>
      </w:pPr>
      <w:r w:rsidRPr="00980733">
        <w:rPr>
          <w:rFonts w:ascii="Times New Roman" w:hAnsi="Times New Roman" w:cs="Times New Roman"/>
          <w:b/>
          <w:bCs/>
          <w:iCs/>
          <w:sz w:val="24"/>
          <w:szCs w:val="24"/>
        </w:rPr>
        <w:t xml:space="preserve">Nations Summit and </w:t>
      </w:r>
      <w:proofErr w:type="spellStart"/>
      <w:r w:rsidRPr="00980733">
        <w:rPr>
          <w:rFonts w:ascii="Times New Roman" w:hAnsi="Times New Roman" w:cs="Times New Roman"/>
          <w:b/>
          <w:bCs/>
          <w:iCs/>
          <w:sz w:val="24"/>
          <w:szCs w:val="24"/>
        </w:rPr>
        <w:t>Te’Mexw</w:t>
      </w:r>
      <w:proofErr w:type="spellEnd"/>
      <w:r w:rsidRPr="00980733">
        <w:rPr>
          <w:rFonts w:ascii="Times New Roman" w:hAnsi="Times New Roman" w:cs="Times New Roman"/>
          <w:b/>
          <w:bCs/>
          <w:iCs/>
          <w:sz w:val="24"/>
          <w:szCs w:val="24"/>
        </w:rPr>
        <w:t xml:space="preserve"> Nations</w:t>
      </w:r>
      <w:r w:rsidRPr="00980733">
        <w:rPr>
          <w:rFonts w:ascii="Times New Roman" w:hAnsi="Times New Roman" w:cs="Times New Roman"/>
          <w:b/>
          <w:iCs/>
          <w:sz w:val="24"/>
          <w:szCs w:val="24"/>
        </w:rPr>
        <w:t> </w:t>
      </w:r>
      <w:r>
        <w:rPr>
          <w:rFonts w:ascii="Times New Roman" w:hAnsi="Times New Roman" w:cs="Times New Roman"/>
          <w:b/>
          <w:iCs/>
          <w:sz w:val="24"/>
          <w:szCs w:val="24"/>
        </w:rPr>
        <w:t>(</w:t>
      </w:r>
      <w:r w:rsidRPr="00980733">
        <w:rPr>
          <w:rFonts w:ascii="Times New Roman" w:hAnsi="Times New Roman" w:cs="Times New Roman"/>
          <w:b/>
          <w:sz w:val="24"/>
          <w:szCs w:val="24"/>
        </w:rPr>
        <w:t>Interveners</w:t>
      </w:r>
      <w:r>
        <w:rPr>
          <w:rFonts w:ascii="Times New Roman" w:hAnsi="Times New Roman" w:cs="Times New Roman"/>
          <w:b/>
          <w:sz w:val="24"/>
          <w:szCs w:val="24"/>
        </w:rPr>
        <w:t>)</w:t>
      </w:r>
    </w:p>
    <w:p w14:paraId="6CBB9B68" w14:textId="77777777" w:rsidR="00980733" w:rsidRPr="00A444B7" w:rsidRDefault="00980733" w:rsidP="00684B3E">
      <w:pPr>
        <w:jc w:val="center"/>
        <w:rPr>
          <w:rFonts w:ascii="Times New Roman" w:hAnsi="Times New Roman" w:cs="Times New Roman"/>
          <w:b/>
          <w:iCs/>
          <w:sz w:val="24"/>
          <w:szCs w:val="24"/>
        </w:rPr>
      </w:pPr>
    </w:p>
    <w:p w14:paraId="34A29948" w14:textId="68B596CC" w:rsidR="00F33146" w:rsidRPr="00A444B7" w:rsidRDefault="00F33146" w:rsidP="00684B3E">
      <w:pPr>
        <w:jc w:val="center"/>
        <w:rPr>
          <w:rFonts w:ascii="Times New Roman" w:hAnsi="Times New Roman" w:cs="Times New Roman"/>
          <w:b/>
          <w:iCs/>
          <w:sz w:val="24"/>
          <w:szCs w:val="24"/>
        </w:rPr>
      </w:pPr>
      <w:r w:rsidRPr="00A444B7">
        <w:rPr>
          <w:rFonts w:ascii="Times New Roman" w:hAnsi="Times New Roman" w:cs="Times New Roman"/>
          <w:b/>
          <w:iCs/>
          <w:sz w:val="24"/>
          <w:szCs w:val="24"/>
        </w:rPr>
        <w:t xml:space="preserve"> </w:t>
      </w:r>
    </w:p>
    <w:p w14:paraId="75F3C644" w14:textId="0E42D596" w:rsidR="00A444B7" w:rsidRPr="00012749" w:rsidRDefault="00A444B7" w:rsidP="00A444B7">
      <w:pPr>
        <w:jc w:val="center"/>
        <w:rPr>
          <w:rFonts w:ascii="Times New Roman" w:hAnsi="Times New Roman" w:cs="Times New Roman"/>
          <w:b/>
        </w:rPr>
      </w:pPr>
      <w:r w:rsidRPr="009733C7">
        <w:rPr>
          <w:rFonts w:ascii="Times New Roman" w:hAnsi="Times New Roman" w:cs="Times New Roman"/>
        </w:rPr>
        <w:t xml:space="preserve">[Indexed as: </w:t>
      </w:r>
      <w:bookmarkStart w:id="1" w:name="_Hlk38296057"/>
      <w:r w:rsidR="00980733" w:rsidRPr="00980733">
        <w:rPr>
          <w:rFonts w:ascii="Times New Roman" w:hAnsi="Times New Roman" w:cs="Times New Roman"/>
          <w:b/>
          <w:bCs/>
        </w:rPr>
        <w:t>NIL/</w:t>
      </w:r>
      <w:proofErr w:type="gramStart"/>
      <w:r w:rsidR="00980733" w:rsidRPr="00980733">
        <w:rPr>
          <w:rFonts w:ascii="Times New Roman" w:hAnsi="Times New Roman" w:cs="Times New Roman"/>
          <w:b/>
          <w:bCs/>
        </w:rPr>
        <w:t>TU,O</w:t>
      </w:r>
      <w:proofErr w:type="gramEnd"/>
      <w:r w:rsidR="00980733" w:rsidRPr="00980733">
        <w:rPr>
          <w:rFonts w:ascii="Times New Roman" w:hAnsi="Times New Roman" w:cs="Times New Roman"/>
          <w:b/>
          <w:bCs/>
        </w:rPr>
        <w:t xml:space="preserve"> Child and Family Services Society </w:t>
      </w:r>
      <w:r w:rsidR="00980733" w:rsidRPr="0083324D">
        <w:rPr>
          <w:rFonts w:ascii="Times New Roman" w:hAnsi="Times New Roman" w:cs="Times New Roman"/>
          <w:b/>
          <w:bCs/>
        </w:rPr>
        <w:t>v</w:t>
      </w:r>
      <w:r w:rsidR="00980733" w:rsidRPr="00980733">
        <w:rPr>
          <w:rFonts w:ascii="Times New Roman" w:hAnsi="Times New Roman" w:cs="Times New Roman"/>
          <w:b/>
          <w:bCs/>
        </w:rPr>
        <w:t> B.C. Government and Service Employees’ Union</w:t>
      </w:r>
      <w:bookmarkEnd w:id="1"/>
      <w:r w:rsidRPr="00A444B7">
        <w:rPr>
          <w:rFonts w:ascii="Times New Roman" w:hAnsi="Times New Roman" w:cs="Times New Roman"/>
          <w:bCs/>
        </w:rPr>
        <w:t>]</w:t>
      </w:r>
    </w:p>
    <w:p w14:paraId="240A1338" w14:textId="77777777" w:rsidR="00A444B7" w:rsidRPr="009733C7" w:rsidRDefault="00A444B7" w:rsidP="00A444B7">
      <w:pPr>
        <w:rPr>
          <w:rFonts w:ascii="Times New Roman" w:hAnsi="Times New Roman" w:cs="Times New Roman"/>
        </w:rPr>
      </w:pPr>
    </w:p>
    <w:p w14:paraId="31901034" w14:textId="24850F0E" w:rsidR="00A444B7" w:rsidRPr="00012749" w:rsidRDefault="00A444B7" w:rsidP="00A444B7">
      <w:pPr>
        <w:jc w:val="center"/>
        <w:rPr>
          <w:rFonts w:ascii="Times New Roman" w:hAnsi="Times New Roman" w:cs="Times New Roman"/>
          <w:i/>
          <w:iCs/>
        </w:rPr>
      </w:pPr>
      <w:r w:rsidRPr="00012749">
        <w:rPr>
          <w:rFonts w:ascii="Times New Roman" w:hAnsi="Times New Roman" w:cs="Times New Roman"/>
          <w:i/>
          <w:iCs/>
        </w:rPr>
        <w:t xml:space="preserve">Indigenous </w:t>
      </w:r>
      <w:r w:rsidR="003F2499">
        <w:rPr>
          <w:rFonts w:ascii="Times New Roman" w:hAnsi="Times New Roman" w:cs="Times New Roman"/>
          <w:i/>
          <w:iCs/>
        </w:rPr>
        <w:t>Nations Court</w:t>
      </w:r>
      <w:r w:rsidRPr="00012749">
        <w:rPr>
          <w:rFonts w:ascii="Times New Roman" w:hAnsi="Times New Roman" w:cs="Times New Roman"/>
          <w:i/>
          <w:iCs/>
        </w:rPr>
        <w:t xml:space="preserve">, </w:t>
      </w:r>
      <w:r>
        <w:rPr>
          <w:rFonts w:ascii="Times New Roman" w:hAnsi="Times New Roman" w:cs="Times New Roman"/>
          <w:i/>
          <w:iCs/>
        </w:rPr>
        <w:t>Metallic</w:t>
      </w:r>
      <w:r w:rsidRPr="00012749">
        <w:rPr>
          <w:rFonts w:ascii="Times New Roman" w:hAnsi="Times New Roman" w:cs="Times New Roman"/>
          <w:i/>
          <w:iCs/>
        </w:rPr>
        <w:t xml:space="preserve"> J, </w:t>
      </w:r>
      <w:r w:rsidRPr="003D2C7C">
        <w:rPr>
          <w:rFonts w:ascii="Times New Roman" w:hAnsi="Times New Roman" w:cs="Times New Roman"/>
          <w:i/>
          <w:iCs/>
          <w:highlight w:val="yellow"/>
        </w:rPr>
        <w:t>April 9</w:t>
      </w:r>
      <w:r w:rsidRPr="00012749">
        <w:rPr>
          <w:rFonts w:ascii="Times New Roman" w:hAnsi="Times New Roman" w:cs="Times New Roman"/>
          <w:i/>
          <w:iCs/>
        </w:rPr>
        <w:t>, 2020</w:t>
      </w:r>
      <w:r w:rsidR="00905D27" w:rsidRPr="00905D27">
        <w:rPr>
          <w:rFonts w:ascii="Times New Roman" w:hAnsi="Times New Roman" w:cs="Times New Roman"/>
          <w:i/>
          <w:iCs/>
          <w:vertAlign w:val="superscript"/>
          <w:lang w:val="en-US"/>
        </w:rPr>
        <w:footnoteReference w:customMarkFollows="1" w:id="1"/>
        <w:t>*</w:t>
      </w:r>
    </w:p>
    <w:p w14:paraId="7ECA71F4" w14:textId="77777777" w:rsidR="00A444B7" w:rsidRPr="00012749" w:rsidRDefault="00A444B7" w:rsidP="00A444B7">
      <w:pPr>
        <w:jc w:val="center"/>
        <w:rPr>
          <w:rFonts w:ascii="Times New Roman" w:hAnsi="Times New Roman" w:cs="Times New Roman"/>
          <w:b/>
        </w:rPr>
      </w:pPr>
    </w:p>
    <w:p w14:paraId="3782A064" w14:textId="7ED7AF16" w:rsidR="00A444B7" w:rsidRPr="00012749" w:rsidRDefault="00A444B7" w:rsidP="00A444B7">
      <w:pPr>
        <w:jc w:val="center"/>
        <w:rPr>
          <w:rFonts w:ascii="Times New Roman" w:hAnsi="Times New Roman" w:cs="Times New Roman"/>
          <w:bCs/>
        </w:rPr>
      </w:pPr>
      <w:r w:rsidRPr="00012749">
        <w:rPr>
          <w:rFonts w:ascii="Times New Roman" w:hAnsi="Times New Roman" w:cs="Times New Roman"/>
          <w:bCs/>
        </w:rPr>
        <w:t xml:space="preserve">Neutral Citation: </w:t>
      </w:r>
      <w:r w:rsidR="003F2499">
        <w:rPr>
          <w:rFonts w:ascii="Times New Roman" w:hAnsi="Times New Roman" w:cs="Times New Roman"/>
          <w:bCs/>
        </w:rPr>
        <w:t>2020</w:t>
      </w:r>
      <w:r w:rsidR="003F2499" w:rsidRPr="00012749">
        <w:rPr>
          <w:rFonts w:ascii="Times New Roman" w:hAnsi="Times New Roman" w:cs="Times New Roman"/>
          <w:bCs/>
        </w:rPr>
        <w:t xml:space="preserve"> </w:t>
      </w:r>
      <w:r w:rsidRPr="00012749">
        <w:rPr>
          <w:rFonts w:ascii="Times New Roman" w:hAnsi="Times New Roman" w:cs="Times New Roman"/>
          <w:bCs/>
        </w:rPr>
        <w:t>I</w:t>
      </w:r>
      <w:r w:rsidR="003F2499">
        <w:rPr>
          <w:rFonts w:ascii="Times New Roman" w:hAnsi="Times New Roman" w:cs="Times New Roman"/>
          <w:bCs/>
        </w:rPr>
        <w:t>NC</w:t>
      </w:r>
      <w:r w:rsidRPr="00012749">
        <w:rPr>
          <w:rFonts w:ascii="Times New Roman" w:hAnsi="Times New Roman" w:cs="Times New Roman"/>
          <w:bCs/>
        </w:rPr>
        <w:t xml:space="preserve"> </w:t>
      </w:r>
      <w:r w:rsidRPr="00012749">
        <w:rPr>
          <w:rFonts w:ascii="Times New Roman" w:hAnsi="Times New Roman" w:cs="Times New Roman"/>
          <w:bCs/>
          <w:highlight w:val="yellow"/>
        </w:rPr>
        <w:t>45??</w:t>
      </w:r>
    </w:p>
    <w:p w14:paraId="7B6FE39E" w14:textId="77777777" w:rsidR="00A444B7" w:rsidRPr="00012749" w:rsidRDefault="00A444B7" w:rsidP="00A444B7">
      <w:pPr>
        <w:snapToGrid w:val="0"/>
        <w:rPr>
          <w:rFonts w:ascii="Times New Roman" w:hAnsi="Times New Roman" w:cs="Times New Roman"/>
          <w:color w:val="FF0000"/>
        </w:rPr>
      </w:pPr>
    </w:p>
    <w:p w14:paraId="093D4950" w14:textId="6DB6A0BA" w:rsidR="00860F82" w:rsidRPr="00860F82" w:rsidRDefault="00860F82" w:rsidP="0083324D">
      <w:pPr>
        <w:ind w:firstLine="709"/>
        <w:jc w:val="both"/>
        <w:rPr>
          <w:rFonts w:ascii="Times New Roman" w:hAnsi="Times New Roman" w:cs="Times New Roman"/>
          <w:sz w:val="24"/>
          <w:szCs w:val="24"/>
        </w:rPr>
      </w:pPr>
      <w:r w:rsidRPr="00860F82">
        <w:rPr>
          <w:rFonts w:ascii="Times New Roman" w:hAnsi="Times New Roman" w:cs="Times New Roman"/>
          <w:sz w:val="24"/>
          <w:szCs w:val="24"/>
        </w:rPr>
        <w:t xml:space="preserve">In </w:t>
      </w:r>
      <w:r w:rsidRPr="00860F82">
        <w:rPr>
          <w:rFonts w:ascii="Times New Roman" w:hAnsi="Times New Roman" w:cs="Times New Roman"/>
          <w:i/>
          <w:sz w:val="24"/>
          <w:szCs w:val="24"/>
        </w:rPr>
        <w:t>NIL/</w:t>
      </w:r>
      <w:proofErr w:type="gramStart"/>
      <w:r w:rsidRPr="00860F82">
        <w:rPr>
          <w:rFonts w:ascii="Times New Roman" w:hAnsi="Times New Roman" w:cs="Times New Roman"/>
          <w:i/>
          <w:sz w:val="24"/>
          <w:szCs w:val="24"/>
        </w:rPr>
        <w:t>TU,O</w:t>
      </w:r>
      <w:proofErr w:type="gramEnd"/>
      <w:r w:rsidRPr="00860F82">
        <w:rPr>
          <w:rFonts w:ascii="Times New Roman" w:hAnsi="Times New Roman" w:cs="Times New Roman"/>
          <w:sz w:val="24"/>
          <w:szCs w:val="24"/>
        </w:rPr>
        <w:t xml:space="preserve"> and </w:t>
      </w:r>
      <w:r w:rsidRPr="00860F82">
        <w:rPr>
          <w:rFonts w:ascii="Times New Roman" w:hAnsi="Times New Roman" w:cs="Times New Roman"/>
          <w:i/>
          <w:sz w:val="24"/>
          <w:szCs w:val="24"/>
        </w:rPr>
        <w:t>Native Child</w:t>
      </w:r>
      <w:r w:rsidRPr="00860F82">
        <w:rPr>
          <w:rFonts w:ascii="Times New Roman" w:hAnsi="Times New Roman" w:cs="Times New Roman"/>
          <w:sz w:val="24"/>
          <w:szCs w:val="24"/>
        </w:rPr>
        <w:t xml:space="preserve">, the Supreme Court of Canada held that unions applying for certification to represent employees of Indigenous-run child and family agencies ought to be certified under provincial labour relations legislation.  The majority in both cases applied a presumptive rule that labour relations are generally provincial matters.  This presumption was not displaced by the fact </w:t>
      </w:r>
      <w:r w:rsidR="00F05347">
        <w:rPr>
          <w:rFonts w:ascii="Times New Roman" w:hAnsi="Times New Roman" w:cs="Times New Roman"/>
          <w:sz w:val="24"/>
          <w:szCs w:val="24"/>
        </w:rPr>
        <w:t xml:space="preserve">that </w:t>
      </w:r>
      <w:r w:rsidRPr="00860F82">
        <w:rPr>
          <w:rFonts w:ascii="Times New Roman" w:hAnsi="Times New Roman" w:cs="Times New Roman"/>
          <w:sz w:val="24"/>
          <w:szCs w:val="24"/>
        </w:rPr>
        <w:t>both agenc</w:t>
      </w:r>
      <w:r>
        <w:rPr>
          <w:rFonts w:ascii="Times New Roman" w:hAnsi="Times New Roman" w:cs="Times New Roman"/>
          <w:sz w:val="24"/>
          <w:szCs w:val="24"/>
        </w:rPr>
        <w:t>ies</w:t>
      </w:r>
      <w:r w:rsidRPr="00860F82">
        <w:rPr>
          <w:rFonts w:ascii="Times New Roman" w:hAnsi="Times New Roman" w:cs="Times New Roman"/>
          <w:sz w:val="24"/>
          <w:szCs w:val="24"/>
        </w:rPr>
        <w:t xml:space="preserve"> were Indigenous-run organization</w:t>
      </w:r>
      <w:r w:rsidR="00F05347">
        <w:rPr>
          <w:rFonts w:ascii="Times New Roman" w:hAnsi="Times New Roman" w:cs="Times New Roman"/>
          <w:sz w:val="24"/>
          <w:szCs w:val="24"/>
        </w:rPr>
        <w:t>s</w:t>
      </w:r>
      <w:r w:rsidRPr="00860F82">
        <w:rPr>
          <w:rFonts w:ascii="Times New Roman" w:hAnsi="Times New Roman" w:cs="Times New Roman"/>
          <w:sz w:val="24"/>
          <w:szCs w:val="24"/>
        </w:rPr>
        <w:t>. The Indigenous nature of the organizations, their clientele, staff</w:t>
      </w:r>
      <w:r w:rsidR="00F05347">
        <w:rPr>
          <w:rFonts w:ascii="Times New Roman" w:hAnsi="Times New Roman" w:cs="Times New Roman"/>
          <w:sz w:val="24"/>
          <w:szCs w:val="24"/>
        </w:rPr>
        <w:t>,</w:t>
      </w:r>
      <w:r w:rsidRPr="00860F82">
        <w:rPr>
          <w:rFonts w:ascii="Times New Roman" w:hAnsi="Times New Roman" w:cs="Times New Roman"/>
          <w:sz w:val="24"/>
          <w:szCs w:val="24"/>
        </w:rPr>
        <w:t xml:space="preserve"> and governance, or their own preferences for labour regimes made no difference to the Court’s analysis.</w:t>
      </w:r>
    </w:p>
    <w:p w14:paraId="0F32310C" w14:textId="77777777" w:rsidR="00860F82" w:rsidRPr="00860F82" w:rsidRDefault="00860F82" w:rsidP="00DF2CF1">
      <w:pPr>
        <w:jc w:val="both"/>
        <w:rPr>
          <w:rFonts w:ascii="Times New Roman" w:hAnsi="Times New Roman" w:cs="Times New Roman"/>
          <w:sz w:val="24"/>
          <w:szCs w:val="24"/>
        </w:rPr>
      </w:pPr>
    </w:p>
    <w:p w14:paraId="6388C04C" w14:textId="189AE94B" w:rsidR="00A444B7" w:rsidRDefault="00860F82" w:rsidP="00185384">
      <w:pPr>
        <w:jc w:val="both"/>
        <w:rPr>
          <w:rFonts w:ascii="Times New Roman" w:hAnsi="Times New Roman" w:cs="Times New Roman"/>
          <w:i/>
          <w:iCs/>
          <w:sz w:val="24"/>
          <w:szCs w:val="24"/>
        </w:rPr>
      </w:pPr>
      <w:r w:rsidRPr="00A444B7">
        <w:rPr>
          <w:rFonts w:ascii="Times New Roman" w:hAnsi="Times New Roman" w:cs="Times New Roman"/>
          <w:bCs/>
          <w:i/>
          <w:iCs/>
          <w:sz w:val="24"/>
          <w:szCs w:val="24"/>
        </w:rPr>
        <w:t>Held:</w:t>
      </w:r>
      <w:r w:rsidRPr="00A444B7">
        <w:rPr>
          <w:rFonts w:ascii="Times New Roman" w:hAnsi="Times New Roman" w:cs="Times New Roman"/>
          <w:i/>
          <w:iCs/>
          <w:sz w:val="24"/>
          <w:szCs w:val="24"/>
        </w:rPr>
        <w:t xml:space="preserve"> </w:t>
      </w:r>
      <w:r w:rsidR="00A444B7" w:rsidRPr="00A444B7">
        <w:rPr>
          <w:rFonts w:ascii="Times New Roman" w:hAnsi="Times New Roman" w:cs="Times New Roman"/>
          <w:i/>
          <w:iCs/>
          <w:sz w:val="24"/>
          <w:szCs w:val="24"/>
        </w:rPr>
        <w:t>Appeals Allowed.</w:t>
      </w:r>
    </w:p>
    <w:p w14:paraId="09F48F6E" w14:textId="77777777" w:rsidR="00185384" w:rsidRPr="0083324D" w:rsidRDefault="00185384" w:rsidP="0083324D">
      <w:pPr>
        <w:jc w:val="both"/>
        <w:rPr>
          <w:rFonts w:ascii="Times New Roman" w:hAnsi="Times New Roman" w:cs="Times New Roman"/>
          <w:sz w:val="24"/>
          <w:szCs w:val="24"/>
        </w:rPr>
      </w:pPr>
    </w:p>
    <w:p w14:paraId="74501DDD" w14:textId="11A5E66F" w:rsidR="00860F82" w:rsidRPr="00A444B7" w:rsidRDefault="00860F82" w:rsidP="00DF2CF1">
      <w:pPr>
        <w:pStyle w:val="ListParagraph"/>
        <w:numPr>
          <w:ilvl w:val="0"/>
          <w:numId w:val="11"/>
        </w:numPr>
        <w:ind w:left="567" w:hanging="567"/>
        <w:contextualSpacing w:val="0"/>
        <w:jc w:val="both"/>
        <w:rPr>
          <w:rFonts w:ascii="Times New Roman" w:hAnsi="Times New Roman" w:cs="Times New Roman"/>
          <w:sz w:val="24"/>
          <w:szCs w:val="24"/>
        </w:rPr>
      </w:pPr>
      <w:r w:rsidRPr="00A444B7">
        <w:rPr>
          <w:rFonts w:ascii="Times New Roman" w:hAnsi="Times New Roman" w:cs="Times New Roman"/>
          <w:sz w:val="24"/>
          <w:szCs w:val="24"/>
        </w:rPr>
        <w:t>The appeal</w:t>
      </w:r>
      <w:r w:rsidR="00754A4E">
        <w:rPr>
          <w:rFonts w:ascii="Times New Roman" w:hAnsi="Times New Roman" w:cs="Times New Roman"/>
          <w:sz w:val="24"/>
          <w:szCs w:val="24"/>
        </w:rPr>
        <w:t>s</w:t>
      </w:r>
      <w:r w:rsidRPr="00A444B7">
        <w:rPr>
          <w:rFonts w:ascii="Times New Roman" w:hAnsi="Times New Roman" w:cs="Times New Roman"/>
          <w:sz w:val="24"/>
          <w:szCs w:val="24"/>
        </w:rPr>
        <w:t xml:space="preserve"> should be allowed.  Treating Indigenous people merely</w:t>
      </w:r>
      <w:r w:rsidR="00C13ECA" w:rsidRPr="00A444B7">
        <w:rPr>
          <w:rFonts w:ascii="Times New Roman" w:hAnsi="Times New Roman" w:cs="Times New Roman"/>
          <w:sz w:val="24"/>
          <w:szCs w:val="24"/>
        </w:rPr>
        <w:t xml:space="preserve"> as</w:t>
      </w:r>
      <w:r w:rsidRPr="00A444B7">
        <w:rPr>
          <w:rFonts w:ascii="Times New Roman" w:hAnsi="Times New Roman" w:cs="Times New Roman"/>
          <w:sz w:val="24"/>
          <w:szCs w:val="24"/>
        </w:rPr>
        <w:t xml:space="preserve"> subjects has, for too long, facilitated both federal and provincial government neglect of matters that are of fundamental importance to Indigenous nations and has failed to protect Indigenous communities against assimilative forces.  In other words, the old approach has caused Indigenous communities harm. Nowhere is this perhaps more apparent than in the context of child welfare.  The S</w:t>
      </w:r>
      <w:r w:rsidR="004B7FA9">
        <w:rPr>
          <w:rFonts w:ascii="Times New Roman" w:hAnsi="Times New Roman" w:cs="Times New Roman"/>
          <w:sz w:val="24"/>
          <w:szCs w:val="24"/>
        </w:rPr>
        <w:t xml:space="preserve">upreme </w:t>
      </w:r>
      <w:r w:rsidRPr="00A444B7">
        <w:rPr>
          <w:rFonts w:ascii="Times New Roman" w:hAnsi="Times New Roman" w:cs="Times New Roman"/>
          <w:sz w:val="24"/>
          <w:szCs w:val="24"/>
        </w:rPr>
        <w:t>C</w:t>
      </w:r>
      <w:r w:rsidR="004B7FA9">
        <w:rPr>
          <w:rFonts w:ascii="Times New Roman" w:hAnsi="Times New Roman" w:cs="Times New Roman"/>
          <w:sz w:val="24"/>
          <w:szCs w:val="24"/>
        </w:rPr>
        <w:t>ourt</w:t>
      </w:r>
      <w:r w:rsidRPr="00A444B7">
        <w:rPr>
          <w:rFonts w:ascii="Times New Roman" w:hAnsi="Times New Roman" w:cs="Times New Roman"/>
          <w:sz w:val="24"/>
          <w:szCs w:val="24"/>
        </w:rPr>
        <w:t xml:space="preserve"> failed to be sensitive </w:t>
      </w:r>
      <w:r w:rsidR="004B7FA9">
        <w:rPr>
          <w:rFonts w:ascii="Times New Roman" w:hAnsi="Times New Roman" w:cs="Times New Roman"/>
          <w:sz w:val="24"/>
          <w:szCs w:val="24"/>
        </w:rPr>
        <w:t>in these cases</w:t>
      </w:r>
      <w:r w:rsidR="00C37E55" w:rsidRPr="00A444B7">
        <w:rPr>
          <w:rFonts w:ascii="Times New Roman" w:hAnsi="Times New Roman" w:cs="Times New Roman"/>
          <w:sz w:val="24"/>
          <w:szCs w:val="24"/>
        </w:rPr>
        <w:t xml:space="preserve"> </w:t>
      </w:r>
      <w:r w:rsidRPr="00A444B7">
        <w:rPr>
          <w:rFonts w:ascii="Times New Roman" w:hAnsi="Times New Roman" w:cs="Times New Roman"/>
          <w:sz w:val="24"/>
          <w:szCs w:val="24"/>
        </w:rPr>
        <w:t>to the unique Indigenous context and the interplay of a number of constitutional principles, including treaty federalism, federalism, subsidiarity, the presumption of conformity with international law, substantive equality, reconciliation</w:t>
      </w:r>
      <w:r w:rsidR="00C37E55" w:rsidRPr="00A444B7">
        <w:rPr>
          <w:rFonts w:ascii="Times New Roman" w:hAnsi="Times New Roman" w:cs="Times New Roman"/>
          <w:sz w:val="24"/>
          <w:szCs w:val="24"/>
        </w:rPr>
        <w:t>,</w:t>
      </w:r>
      <w:r w:rsidRPr="00A444B7">
        <w:rPr>
          <w:rFonts w:ascii="Times New Roman" w:hAnsi="Times New Roman" w:cs="Times New Roman"/>
          <w:sz w:val="24"/>
          <w:szCs w:val="24"/>
        </w:rPr>
        <w:t xml:space="preserve"> and the </w:t>
      </w:r>
      <w:r w:rsidR="00C13ECA" w:rsidRPr="00A444B7">
        <w:rPr>
          <w:rFonts w:ascii="Times New Roman" w:hAnsi="Times New Roman" w:cs="Times New Roman"/>
          <w:sz w:val="24"/>
          <w:szCs w:val="24"/>
        </w:rPr>
        <w:t>h</w:t>
      </w:r>
      <w:r w:rsidRPr="00A444B7">
        <w:rPr>
          <w:rFonts w:ascii="Times New Roman" w:hAnsi="Times New Roman" w:cs="Times New Roman"/>
          <w:sz w:val="24"/>
          <w:szCs w:val="24"/>
        </w:rPr>
        <w:t>onour of the Crown.  Indigenous groups are governments in their own right, with their own law-making powers and responsibilities.  The Canadian conception of federalism, read in harmony with other constitutional principles, is capable of accommodating this change.</w:t>
      </w:r>
    </w:p>
    <w:p w14:paraId="46B72F9F" w14:textId="4AF85A85" w:rsidR="00860F82" w:rsidRDefault="00860F82" w:rsidP="00684B3E">
      <w:pPr>
        <w:rPr>
          <w:rFonts w:ascii="Times New Roman" w:hAnsi="Times New Roman" w:cs="Times New Roman"/>
          <w:sz w:val="24"/>
          <w:szCs w:val="24"/>
        </w:rPr>
      </w:pPr>
    </w:p>
    <w:p w14:paraId="7A859597" w14:textId="5D671557" w:rsidR="00513F06" w:rsidRDefault="003F2499" w:rsidP="00980733">
      <w:pPr>
        <w:spacing w:after="200"/>
        <w:ind w:firstLine="567"/>
        <w:rPr>
          <w:rFonts w:ascii="Times New Roman" w:hAnsi="Times New Roman" w:cs="Times New Roman"/>
          <w:sz w:val="24"/>
          <w:szCs w:val="24"/>
        </w:rPr>
      </w:pPr>
      <w:r w:rsidRPr="003F2499">
        <w:rPr>
          <w:rFonts w:ascii="Times New Roman" w:hAnsi="Times New Roman" w:cs="Times New Roman"/>
          <w:b/>
          <w:bCs/>
          <w:sz w:val="24"/>
          <w:szCs w:val="24"/>
        </w:rPr>
        <w:t>M</w:t>
      </w:r>
      <w:r w:rsidRPr="00980733">
        <w:rPr>
          <w:rFonts w:ascii="Times New Roman" w:hAnsi="Times New Roman" w:cs="Times New Roman"/>
          <w:b/>
          <w:bCs/>
          <w:sz w:val="20"/>
          <w:szCs w:val="20"/>
        </w:rPr>
        <w:t xml:space="preserve">ETALLIC </w:t>
      </w:r>
      <w:proofErr w:type="gramStart"/>
      <w:r w:rsidRPr="003F2499">
        <w:rPr>
          <w:rFonts w:ascii="Times New Roman" w:hAnsi="Times New Roman" w:cs="Times New Roman"/>
          <w:b/>
          <w:bCs/>
          <w:sz w:val="24"/>
          <w:szCs w:val="24"/>
        </w:rPr>
        <w:t>J</w:t>
      </w:r>
      <w:r w:rsidR="00BE2C00" w:rsidRPr="00BE2C00">
        <w:rPr>
          <w:rFonts w:ascii="Times New Roman" w:hAnsi="Times New Roman" w:cs="Times New Roman"/>
          <w:b/>
          <w:bCs/>
          <w:sz w:val="24"/>
          <w:szCs w:val="24"/>
        </w:rPr>
        <w:t>:</w:t>
      </w:r>
      <w:r w:rsidR="00905D27" w:rsidRPr="00905D27">
        <w:rPr>
          <w:rFonts w:ascii="Times New Roman" w:hAnsi="Times New Roman" w:cs="Times New Roman"/>
          <w:b/>
          <w:bCs/>
          <w:sz w:val="24"/>
          <w:szCs w:val="24"/>
          <w:vertAlign w:val="superscript"/>
          <w:lang w:val="en-US"/>
        </w:rPr>
        <w:footnoteReference w:customMarkFollows="1" w:id="2"/>
        <w:t>*</w:t>
      </w:r>
      <w:proofErr w:type="gramEnd"/>
      <w:r w:rsidR="00905D27" w:rsidRPr="00905D27">
        <w:rPr>
          <w:rFonts w:ascii="Times New Roman" w:hAnsi="Times New Roman" w:cs="Times New Roman"/>
          <w:b/>
          <w:bCs/>
          <w:sz w:val="24"/>
          <w:szCs w:val="24"/>
          <w:vertAlign w:val="superscript"/>
          <w:lang w:val="en-US"/>
        </w:rPr>
        <w:t>*</w:t>
      </w:r>
    </w:p>
    <w:p w14:paraId="16EB07FF" w14:textId="55AC0231" w:rsidR="00321C69" w:rsidRPr="00BE2C00" w:rsidRDefault="00BE2C00" w:rsidP="00684B3E">
      <w:pPr>
        <w:pStyle w:val="Heading1"/>
        <w:spacing w:after="200"/>
        <w:rPr>
          <w:b w:val="0"/>
          <w:bCs/>
        </w:rPr>
      </w:pPr>
      <w:r w:rsidRPr="00BE2C00">
        <w:rPr>
          <w:b w:val="0"/>
          <w:bCs/>
          <w:u w:val="none"/>
        </w:rPr>
        <w:t>1</w:t>
      </w:r>
      <w:r w:rsidRPr="00BE2C00">
        <w:rPr>
          <w:u w:val="none"/>
        </w:rPr>
        <w:t>.</w:t>
      </w:r>
      <w:r w:rsidRPr="00BE2C00">
        <w:rPr>
          <w:u w:val="none"/>
        </w:rPr>
        <w:tab/>
      </w:r>
      <w:r w:rsidR="00321C69" w:rsidRPr="00BE2C00">
        <w:rPr>
          <w:b w:val="0"/>
          <w:bCs/>
        </w:rPr>
        <w:t>Introduction</w:t>
      </w:r>
    </w:p>
    <w:p w14:paraId="4FC2624F" w14:textId="17C2EEC0" w:rsidR="00B47858" w:rsidRPr="008541B3" w:rsidRDefault="009A67E1" w:rsidP="00684B3E">
      <w:pPr>
        <w:pStyle w:val="ListParagraph"/>
        <w:numPr>
          <w:ilvl w:val="0"/>
          <w:numId w:val="1"/>
        </w:numPr>
        <w:ind w:left="0" w:firstLine="0"/>
        <w:jc w:val="both"/>
        <w:rPr>
          <w:rFonts w:ascii="Times New Roman" w:hAnsi="Times New Roman" w:cs="Times New Roman"/>
          <w:sz w:val="24"/>
          <w:szCs w:val="24"/>
        </w:rPr>
      </w:pPr>
      <w:r w:rsidRPr="00DF15E8">
        <w:rPr>
          <w:rFonts w:ascii="Times New Roman" w:hAnsi="Times New Roman" w:cs="Times New Roman"/>
          <w:sz w:val="24"/>
          <w:szCs w:val="24"/>
        </w:rPr>
        <w:t>W</w:t>
      </w:r>
      <w:r w:rsidR="00A808EB" w:rsidRPr="00DF15E8">
        <w:rPr>
          <w:rFonts w:ascii="Times New Roman" w:hAnsi="Times New Roman" w:cs="Times New Roman"/>
          <w:sz w:val="24"/>
          <w:szCs w:val="24"/>
        </w:rPr>
        <w:t xml:space="preserve">e are called upon to </w:t>
      </w:r>
      <w:r w:rsidRPr="00DF15E8">
        <w:rPr>
          <w:rFonts w:ascii="Times New Roman" w:hAnsi="Times New Roman" w:cs="Times New Roman"/>
          <w:sz w:val="24"/>
          <w:szCs w:val="24"/>
        </w:rPr>
        <w:t>rule on appeals from</w:t>
      </w:r>
      <w:r w:rsidR="00A808EB" w:rsidRPr="00DF15E8">
        <w:rPr>
          <w:rFonts w:ascii="Times New Roman" w:hAnsi="Times New Roman" w:cs="Times New Roman"/>
          <w:sz w:val="24"/>
          <w:szCs w:val="24"/>
        </w:rPr>
        <w:t xml:space="preserve"> the</w:t>
      </w:r>
      <w:r w:rsidRPr="00DF15E8">
        <w:rPr>
          <w:rFonts w:ascii="Times New Roman" w:hAnsi="Times New Roman" w:cs="Times New Roman"/>
          <w:sz w:val="24"/>
          <w:szCs w:val="24"/>
        </w:rPr>
        <w:t xml:space="preserve"> decisions of the </w:t>
      </w:r>
      <w:r w:rsidR="00A808EB" w:rsidRPr="00DF15E8">
        <w:rPr>
          <w:rFonts w:ascii="Times New Roman" w:hAnsi="Times New Roman" w:cs="Times New Roman"/>
          <w:sz w:val="24"/>
          <w:szCs w:val="24"/>
        </w:rPr>
        <w:t>Supreme Court of Canada</w:t>
      </w:r>
      <w:r w:rsidRPr="00DF15E8">
        <w:rPr>
          <w:rFonts w:ascii="Times New Roman" w:hAnsi="Times New Roman" w:cs="Times New Roman"/>
          <w:sz w:val="24"/>
          <w:szCs w:val="24"/>
        </w:rPr>
        <w:t xml:space="preserve"> (SCC) </w:t>
      </w:r>
      <w:r w:rsidR="00A808EB" w:rsidRPr="00DF15E8">
        <w:rPr>
          <w:rFonts w:ascii="Times New Roman" w:hAnsi="Times New Roman" w:cs="Times New Roman"/>
          <w:sz w:val="24"/>
          <w:szCs w:val="24"/>
        </w:rPr>
        <w:t>in</w:t>
      </w:r>
      <w:r w:rsidR="005B1CA5" w:rsidRPr="00DF15E8">
        <w:rPr>
          <w:rFonts w:ascii="Times New Roman" w:hAnsi="Times New Roman" w:cs="Times New Roman"/>
          <w:sz w:val="24"/>
          <w:szCs w:val="24"/>
        </w:rPr>
        <w:t xml:space="preserve"> </w:t>
      </w:r>
      <w:r w:rsidR="005B1CA5" w:rsidRPr="00DF15E8">
        <w:rPr>
          <w:rFonts w:ascii="Times New Roman" w:hAnsi="Times New Roman" w:cs="Times New Roman"/>
          <w:i/>
          <w:iCs/>
          <w:sz w:val="24"/>
          <w:szCs w:val="24"/>
        </w:rPr>
        <w:t>NIL/TU,O Child and Family Services Society v. B.C. Government and Service Employees</w:t>
      </w:r>
      <w:r w:rsidR="004B7FA9">
        <w:rPr>
          <w:rFonts w:ascii="Times New Roman" w:hAnsi="Times New Roman" w:cs="Times New Roman"/>
          <w:i/>
          <w:iCs/>
          <w:sz w:val="24"/>
          <w:szCs w:val="24"/>
        </w:rPr>
        <w:t>’</w:t>
      </w:r>
      <w:r w:rsidR="005B1CA5" w:rsidRPr="00DF15E8">
        <w:rPr>
          <w:rFonts w:ascii="Times New Roman" w:hAnsi="Times New Roman" w:cs="Times New Roman"/>
          <w:i/>
          <w:iCs/>
          <w:sz w:val="24"/>
          <w:szCs w:val="24"/>
        </w:rPr>
        <w:t xml:space="preserve"> Union</w:t>
      </w:r>
      <w:r w:rsidR="00FE5955">
        <w:rPr>
          <w:rFonts w:ascii="Times New Roman" w:hAnsi="Times New Roman" w:cs="Times New Roman"/>
          <w:sz w:val="24"/>
          <w:szCs w:val="24"/>
        </w:rPr>
        <w:t xml:space="preserve"> </w:t>
      </w:r>
      <w:r w:rsidR="00FE5955" w:rsidRPr="00DF15E8">
        <w:rPr>
          <w:rFonts w:ascii="Times New Roman" w:hAnsi="Times New Roman" w:cs="Times New Roman"/>
          <w:sz w:val="24"/>
          <w:szCs w:val="24"/>
        </w:rPr>
        <w:t xml:space="preserve"> and </w:t>
      </w:r>
      <w:r w:rsidR="00FE5955" w:rsidRPr="00DF15E8">
        <w:rPr>
          <w:rFonts w:ascii="Times New Roman" w:hAnsi="Times New Roman" w:cs="Times New Roman"/>
          <w:i/>
          <w:iCs/>
          <w:sz w:val="24"/>
          <w:szCs w:val="24"/>
        </w:rPr>
        <w:t xml:space="preserve">Communications, Energy and </w:t>
      </w:r>
      <w:proofErr w:type="spellStart"/>
      <w:r w:rsidR="00FE5955" w:rsidRPr="00DF15E8">
        <w:rPr>
          <w:rFonts w:ascii="Times New Roman" w:hAnsi="Times New Roman" w:cs="Times New Roman"/>
          <w:i/>
          <w:iCs/>
          <w:sz w:val="24"/>
          <w:szCs w:val="24"/>
        </w:rPr>
        <w:t>Paperworkers</w:t>
      </w:r>
      <w:proofErr w:type="spellEnd"/>
      <w:r w:rsidR="00FE5955" w:rsidRPr="00DF15E8">
        <w:rPr>
          <w:rFonts w:ascii="Times New Roman" w:hAnsi="Times New Roman" w:cs="Times New Roman"/>
          <w:i/>
          <w:iCs/>
          <w:sz w:val="24"/>
          <w:szCs w:val="24"/>
        </w:rPr>
        <w:t xml:space="preserve"> Union of Canada v. Native Chil</w:t>
      </w:r>
      <w:r w:rsidR="00F17583">
        <w:rPr>
          <w:rFonts w:ascii="Times New Roman" w:hAnsi="Times New Roman" w:cs="Times New Roman"/>
          <w:i/>
          <w:iCs/>
          <w:sz w:val="24"/>
          <w:szCs w:val="24"/>
        </w:rPr>
        <w:t>d and Family Services of Toronto</w:t>
      </w:r>
      <w:r w:rsidR="00FE5955" w:rsidRPr="00DF15E8">
        <w:rPr>
          <w:rFonts w:ascii="Times New Roman" w:hAnsi="Times New Roman" w:cs="Times New Roman"/>
          <w:sz w:val="24"/>
          <w:szCs w:val="24"/>
        </w:rPr>
        <w:t>.</w:t>
      </w:r>
      <w:r w:rsidR="00B47858" w:rsidRPr="00EB16EF">
        <w:rPr>
          <w:rStyle w:val="FootnoteReference"/>
          <w:rFonts w:ascii="Times New Roman" w:hAnsi="Times New Roman" w:cs="Times New Roman"/>
          <w:iCs/>
          <w:sz w:val="24"/>
          <w:szCs w:val="24"/>
        </w:rPr>
        <w:footnoteReference w:id="3"/>
      </w:r>
      <w:r w:rsidR="00B47858" w:rsidRPr="00DF15E8">
        <w:rPr>
          <w:rFonts w:ascii="Times New Roman" w:hAnsi="Times New Roman" w:cs="Times New Roman"/>
          <w:sz w:val="24"/>
          <w:szCs w:val="24"/>
        </w:rPr>
        <w:t xml:space="preserve">  Both cases were framed in the courts below as involving the question of whether, as a matter of div</w:t>
      </w:r>
      <w:r w:rsidR="00B47858">
        <w:rPr>
          <w:rFonts w:ascii="Times New Roman" w:hAnsi="Times New Roman" w:cs="Times New Roman"/>
          <w:sz w:val="24"/>
          <w:szCs w:val="24"/>
        </w:rPr>
        <w:t>ision of jurisdictional powers</w:t>
      </w:r>
      <w:r w:rsidR="00B47858" w:rsidRPr="00DF15E8">
        <w:rPr>
          <w:rFonts w:ascii="Times New Roman" w:hAnsi="Times New Roman" w:cs="Times New Roman"/>
          <w:sz w:val="24"/>
          <w:szCs w:val="24"/>
        </w:rPr>
        <w:t xml:space="preserve"> in</w:t>
      </w:r>
      <w:r w:rsidR="00B47858">
        <w:rPr>
          <w:rFonts w:ascii="Times New Roman" w:hAnsi="Times New Roman" w:cs="Times New Roman"/>
          <w:sz w:val="24"/>
          <w:szCs w:val="24"/>
        </w:rPr>
        <w:t xml:space="preserve"> </w:t>
      </w:r>
      <w:r w:rsidR="00B47858" w:rsidRPr="00DF15E8">
        <w:rPr>
          <w:rFonts w:ascii="Times New Roman" w:hAnsi="Times New Roman" w:cs="Times New Roman"/>
          <w:sz w:val="24"/>
          <w:szCs w:val="24"/>
        </w:rPr>
        <w:t>s</w:t>
      </w:r>
      <w:r w:rsidR="002B4063">
        <w:rPr>
          <w:rFonts w:ascii="Times New Roman" w:hAnsi="Times New Roman" w:cs="Times New Roman"/>
          <w:sz w:val="24"/>
          <w:szCs w:val="24"/>
        </w:rPr>
        <w:t>s 91</w:t>
      </w:r>
      <w:r w:rsidR="00B47858" w:rsidRPr="00DF15E8">
        <w:rPr>
          <w:rFonts w:ascii="Times New Roman" w:hAnsi="Times New Roman" w:cs="Times New Roman"/>
          <w:sz w:val="24"/>
          <w:szCs w:val="24"/>
        </w:rPr>
        <w:t xml:space="preserve"> and 92</w:t>
      </w:r>
      <w:r w:rsidR="00B47858">
        <w:rPr>
          <w:rFonts w:ascii="Times New Roman" w:hAnsi="Times New Roman" w:cs="Times New Roman"/>
          <w:sz w:val="24"/>
          <w:szCs w:val="24"/>
        </w:rPr>
        <w:t xml:space="preserve"> of</w:t>
      </w:r>
      <w:r w:rsidR="00B47858" w:rsidRPr="00DF15E8">
        <w:rPr>
          <w:rFonts w:ascii="Times New Roman" w:hAnsi="Times New Roman" w:cs="Times New Roman"/>
          <w:sz w:val="24"/>
          <w:szCs w:val="24"/>
        </w:rPr>
        <w:t xml:space="preserve"> the </w:t>
      </w:r>
      <w:r w:rsidR="00B47858" w:rsidRPr="00DF15E8">
        <w:rPr>
          <w:rFonts w:ascii="Times New Roman" w:hAnsi="Times New Roman" w:cs="Times New Roman"/>
          <w:i/>
          <w:iCs/>
          <w:sz w:val="24"/>
          <w:szCs w:val="24"/>
        </w:rPr>
        <w:t>Constitution Act, 1867</w:t>
      </w:r>
      <w:r w:rsidR="00B47858" w:rsidRPr="00DF15E8">
        <w:rPr>
          <w:rFonts w:ascii="Times New Roman" w:hAnsi="Times New Roman" w:cs="Times New Roman"/>
          <w:sz w:val="24"/>
          <w:szCs w:val="24"/>
        </w:rPr>
        <w:t xml:space="preserve">, provincial or federal labour laws ought to apply to employees of Indigenous-run agencies providing services to Indigenous clientele in the area of child welfare services.  </w:t>
      </w:r>
      <w:r w:rsidR="00B47858" w:rsidRPr="008541B3">
        <w:rPr>
          <w:rFonts w:ascii="Times New Roman" w:hAnsi="Times New Roman" w:cs="Times New Roman"/>
          <w:sz w:val="24"/>
          <w:szCs w:val="24"/>
        </w:rPr>
        <w:t>In the courts below, the NIL/</w:t>
      </w:r>
      <w:proofErr w:type="gramStart"/>
      <w:r w:rsidR="00B47858" w:rsidRPr="008541B3">
        <w:rPr>
          <w:rFonts w:ascii="Times New Roman" w:hAnsi="Times New Roman" w:cs="Times New Roman"/>
          <w:sz w:val="24"/>
          <w:szCs w:val="24"/>
        </w:rPr>
        <w:t>TU,O</w:t>
      </w:r>
      <w:proofErr w:type="gramEnd"/>
      <w:r w:rsidR="00B47858" w:rsidRPr="008541B3">
        <w:rPr>
          <w:rFonts w:ascii="Times New Roman" w:hAnsi="Times New Roman" w:cs="Times New Roman"/>
          <w:sz w:val="24"/>
          <w:szCs w:val="24"/>
        </w:rPr>
        <w:t xml:space="preserve"> agency, serving seven First Nations communities </w:t>
      </w:r>
      <w:r w:rsidR="00B47858">
        <w:rPr>
          <w:rFonts w:ascii="Times New Roman" w:hAnsi="Times New Roman" w:cs="Times New Roman"/>
          <w:sz w:val="24"/>
          <w:szCs w:val="24"/>
        </w:rPr>
        <w:t xml:space="preserve">situated </w:t>
      </w:r>
      <w:r w:rsidR="00B47858" w:rsidRPr="008541B3">
        <w:rPr>
          <w:rFonts w:ascii="Times New Roman" w:hAnsi="Times New Roman" w:cs="Times New Roman"/>
          <w:sz w:val="24"/>
          <w:szCs w:val="24"/>
        </w:rPr>
        <w:t>on reserve</w:t>
      </w:r>
      <w:r w:rsidR="00B47858">
        <w:rPr>
          <w:rFonts w:ascii="Times New Roman" w:hAnsi="Times New Roman" w:cs="Times New Roman"/>
          <w:sz w:val="24"/>
          <w:szCs w:val="24"/>
        </w:rPr>
        <w:t xml:space="preserve"> lands</w:t>
      </w:r>
      <w:r w:rsidR="00B47858" w:rsidRPr="008541B3">
        <w:rPr>
          <w:rFonts w:ascii="Times New Roman" w:hAnsi="Times New Roman" w:cs="Times New Roman"/>
          <w:sz w:val="24"/>
          <w:szCs w:val="24"/>
        </w:rPr>
        <w:t xml:space="preserve"> in British Columbia, resisted the application of provincial laws in favour of the federal labour regime applyi</w:t>
      </w:r>
      <w:r w:rsidR="00B47858">
        <w:rPr>
          <w:rFonts w:ascii="Times New Roman" w:hAnsi="Times New Roman" w:cs="Times New Roman"/>
          <w:sz w:val="24"/>
          <w:szCs w:val="24"/>
        </w:rPr>
        <w:t>ng to its employees</w:t>
      </w:r>
      <w:r w:rsidR="00B47858" w:rsidRPr="008541B3">
        <w:rPr>
          <w:rFonts w:ascii="Times New Roman" w:hAnsi="Times New Roman" w:cs="Times New Roman"/>
          <w:sz w:val="24"/>
          <w:szCs w:val="24"/>
        </w:rPr>
        <w:t>.  Conversely, Native Child, serving the urban Indigenous community in Toronto, resisted federal jurisdiction over its labour relations in favour of provincial jurisdiction.</w:t>
      </w:r>
    </w:p>
    <w:p w14:paraId="7198404A" w14:textId="6AA8B77D" w:rsidR="00B47858" w:rsidRPr="008541B3" w:rsidRDefault="00B47858" w:rsidP="00684B3E">
      <w:pPr>
        <w:pStyle w:val="ListParagraph"/>
        <w:ind w:left="0"/>
        <w:jc w:val="both"/>
        <w:rPr>
          <w:rFonts w:ascii="Times New Roman" w:hAnsi="Times New Roman" w:cs="Times New Roman"/>
          <w:sz w:val="24"/>
          <w:szCs w:val="24"/>
        </w:rPr>
      </w:pPr>
    </w:p>
    <w:p w14:paraId="68E30869" w14:textId="172C2510" w:rsidR="00B47858" w:rsidRPr="002F1D87" w:rsidRDefault="00B47858" w:rsidP="00684B3E">
      <w:pPr>
        <w:pStyle w:val="ListParagraph"/>
        <w:numPr>
          <w:ilvl w:val="0"/>
          <w:numId w:val="1"/>
        </w:numPr>
        <w:ind w:left="0" w:firstLine="0"/>
        <w:jc w:val="both"/>
        <w:rPr>
          <w:rFonts w:ascii="Times New Roman" w:hAnsi="Times New Roman" w:cs="Times New Roman"/>
          <w:sz w:val="24"/>
          <w:szCs w:val="24"/>
        </w:rPr>
      </w:pPr>
      <w:r w:rsidRPr="00DF15E8">
        <w:rPr>
          <w:rFonts w:ascii="Times New Roman" w:hAnsi="Times New Roman" w:cs="Times New Roman"/>
          <w:sz w:val="24"/>
          <w:szCs w:val="24"/>
        </w:rPr>
        <w:t xml:space="preserve">All the judges </w:t>
      </w:r>
      <w:r>
        <w:rPr>
          <w:rFonts w:ascii="Times New Roman" w:hAnsi="Times New Roman" w:cs="Times New Roman"/>
          <w:sz w:val="24"/>
          <w:szCs w:val="24"/>
        </w:rPr>
        <w:t>of the SCC</w:t>
      </w:r>
      <w:r w:rsidRPr="00DF15E8">
        <w:rPr>
          <w:rFonts w:ascii="Times New Roman" w:hAnsi="Times New Roman" w:cs="Times New Roman"/>
          <w:sz w:val="24"/>
          <w:szCs w:val="24"/>
        </w:rPr>
        <w:t xml:space="preserve"> agreed in the result that provincial labour laws ought to apply to both agencies.  All agreed that </w:t>
      </w:r>
      <w:r>
        <w:rPr>
          <w:rFonts w:ascii="Times New Roman" w:hAnsi="Times New Roman" w:cs="Times New Roman"/>
          <w:sz w:val="24"/>
          <w:szCs w:val="24"/>
        </w:rPr>
        <w:t xml:space="preserve">the </w:t>
      </w:r>
      <w:r w:rsidRPr="00DF15E8">
        <w:rPr>
          <w:rFonts w:ascii="Times New Roman" w:hAnsi="Times New Roman" w:cs="Times New Roman"/>
          <w:sz w:val="24"/>
          <w:szCs w:val="24"/>
        </w:rPr>
        <w:t>past division</w:t>
      </w:r>
      <w:r w:rsidR="00C20DCC">
        <w:rPr>
          <w:rFonts w:ascii="Times New Roman" w:hAnsi="Times New Roman" w:cs="Times New Roman"/>
          <w:sz w:val="24"/>
          <w:szCs w:val="24"/>
        </w:rPr>
        <w:t>-</w:t>
      </w:r>
      <w:r w:rsidRPr="00DF15E8">
        <w:rPr>
          <w:rFonts w:ascii="Times New Roman" w:hAnsi="Times New Roman" w:cs="Times New Roman"/>
          <w:sz w:val="24"/>
          <w:szCs w:val="24"/>
        </w:rPr>
        <w:t>of</w:t>
      </w:r>
      <w:r w:rsidR="00C20DCC">
        <w:rPr>
          <w:rFonts w:ascii="Times New Roman" w:hAnsi="Times New Roman" w:cs="Times New Roman"/>
          <w:sz w:val="24"/>
          <w:szCs w:val="24"/>
        </w:rPr>
        <w:t>-</w:t>
      </w:r>
      <w:r w:rsidRPr="00DF15E8">
        <w:rPr>
          <w:rFonts w:ascii="Times New Roman" w:hAnsi="Times New Roman" w:cs="Times New Roman"/>
          <w:sz w:val="24"/>
          <w:szCs w:val="24"/>
        </w:rPr>
        <w:t>powers precedent established that jurisdiction over labour relations</w:t>
      </w:r>
      <w:r w:rsidR="00F31798">
        <w:rPr>
          <w:rFonts w:ascii="Times New Roman" w:hAnsi="Times New Roman" w:cs="Times New Roman"/>
          <w:sz w:val="24"/>
          <w:szCs w:val="24"/>
        </w:rPr>
        <w:t xml:space="preserve"> </w:t>
      </w:r>
      <w:r w:rsidR="00C20DCC">
        <w:rPr>
          <w:rFonts w:ascii="Times New Roman" w:hAnsi="Times New Roman" w:cs="Times New Roman"/>
          <w:sz w:val="24"/>
          <w:szCs w:val="24"/>
        </w:rPr>
        <w:t>is</w:t>
      </w:r>
      <w:r w:rsidR="00C20DCC" w:rsidRPr="00DF15E8">
        <w:rPr>
          <w:rFonts w:ascii="Times New Roman" w:hAnsi="Times New Roman" w:cs="Times New Roman"/>
          <w:sz w:val="24"/>
          <w:szCs w:val="24"/>
        </w:rPr>
        <w:t xml:space="preserve"> </w:t>
      </w:r>
      <w:r w:rsidRPr="00DF15E8">
        <w:rPr>
          <w:rFonts w:ascii="Times New Roman" w:hAnsi="Times New Roman" w:cs="Times New Roman"/>
          <w:sz w:val="24"/>
          <w:szCs w:val="24"/>
        </w:rPr>
        <w:t xml:space="preserve">presumptively provincial and only exceptionally federal.  The only point of disagreement between the judges was when the exception is triggered.  A majority of six judges preferred an approach that first assessed whether the day-to-day functions of the agencies indicated sufficient federal involvement in their operations in order to trigger the exception.  Assuming this was shown, a second assessment would occur asking whether the nature of the activities of the </w:t>
      </w:r>
      <w:r w:rsidRPr="00DF15E8">
        <w:rPr>
          <w:rFonts w:ascii="Times New Roman" w:hAnsi="Times New Roman" w:cs="Times New Roman"/>
          <w:sz w:val="24"/>
          <w:szCs w:val="24"/>
        </w:rPr>
        <w:lastRenderedPageBreak/>
        <w:t xml:space="preserve">agencies (here the delivery of culturally-informed child welfare services to an Indigenous clientele) went to the ‘core of </w:t>
      </w:r>
      <w:proofErr w:type="spellStart"/>
      <w:r w:rsidRPr="00DF15E8">
        <w:rPr>
          <w:rFonts w:ascii="Times New Roman" w:hAnsi="Times New Roman" w:cs="Times New Roman"/>
          <w:sz w:val="24"/>
          <w:szCs w:val="24"/>
        </w:rPr>
        <w:t>Indianess</w:t>
      </w:r>
      <w:proofErr w:type="spellEnd"/>
      <w:r w:rsidRPr="00DF15E8">
        <w:rPr>
          <w:rFonts w:ascii="Times New Roman" w:hAnsi="Times New Roman" w:cs="Times New Roman"/>
          <w:sz w:val="24"/>
          <w:szCs w:val="24"/>
        </w:rPr>
        <w:t>’ of the federal constitutional power over “Indians</w:t>
      </w:r>
      <w:r>
        <w:rPr>
          <w:rFonts w:ascii="Times New Roman" w:hAnsi="Times New Roman" w:cs="Times New Roman"/>
          <w:sz w:val="24"/>
          <w:szCs w:val="24"/>
        </w:rPr>
        <w:t>,</w:t>
      </w:r>
      <w:r w:rsidRPr="00DF15E8">
        <w:rPr>
          <w:rFonts w:ascii="Times New Roman" w:hAnsi="Times New Roman" w:cs="Times New Roman"/>
          <w:sz w:val="24"/>
          <w:szCs w:val="24"/>
        </w:rPr>
        <w:t xml:space="preserve"> and </w:t>
      </w:r>
      <w:r>
        <w:rPr>
          <w:rFonts w:ascii="Times New Roman" w:hAnsi="Times New Roman" w:cs="Times New Roman"/>
          <w:sz w:val="24"/>
          <w:szCs w:val="24"/>
        </w:rPr>
        <w:t>L</w:t>
      </w:r>
      <w:r w:rsidRPr="00DF15E8">
        <w:rPr>
          <w:rFonts w:ascii="Times New Roman" w:hAnsi="Times New Roman" w:cs="Times New Roman"/>
          <w:sz w:val="24"/>
          <w:szCs w:val="24"/>
        </w:rPr>
        <w:t>a</w:t>
      </w:r>
      <w:r>
        <w:rPr>
          <w:rFonts w:ascii="Times New Roman" w:hAnsi="Times New Roman" w:cs="Times New Roman"/>
          <w:sz w:val="24"/>
          <w:szCs w:val="24"/>
        </w:rPr>
        <w:t>nds reserved for the Indians” in</w:t>
      </w:r>
      <w:r w:rsidRPr="00DF15E8">
        <w:rPr>
          <w:rFonts w:ascii="Times New Roman" w:hAnsi="Times New Roman" w:cs="Times New Roman"/>
          <w:sz w:val="24"/>
          <w:szCs w:val="24"/>
        </w:rPr>
        <w:t xml:space="preserve"> </w:t>
      </w:r>
      <w:r w:rsidR="002B4063">
        <w:rPr>
          <w:rFonts w:ascii="Times New Roman" w:hAnsi="Times New Roman" w:cs="Times New Roman"/>
          <w:sz w:val="24"/>
          <w:szCs w:val="24"/>
        </w:rPr>
        <w:t>s 91</w:t>
      </w:r>
      <w:r w:rsidRPr="00DF15E8">
        <w:rPr>
          <w:rFonts w:ascii="Times New Roman" w:hAnsi="Times New Roman" w:cs="Times New Roman"/>
          <w:sz w:val="24"/>
          <w:szCs w:val="24"/>
        </w:rPr>
        <w:t>(24)</w:t>
      </w:r>
      <w:r w:rsidR="00C20DCC">
        <w:rPr>
          <w:rFonts w:ascii="Times New Roman" w:hAnsi="Times New Roman" w:cs="Times New Roman"/>
          <w:sz w:val="24"/>
          <w:szCs w:val="24"/>
        </w:rPr>
        <w:t xml:space="preserve"> of the </w:t>
      </w:r>
      <w:r w:rsidR="00C20DCC">
        <w:rPr>
          <w:rFonts w:ascii="Times New Roman" w:hAnsi="Times New Roman" w:cs="Times New Roman"/>
          <w:i/>
          <w:iCs/>
          <w:sz w:val="24"/>
          <w:szCs w:val="24"/>
        </w:rPr>
        <w:t>Constitution Act, 1867</w:t>
      </w:r>
      <w:r w:rsidRPr="00DF15E8">
        <w:rPr>
          <w:rFonts w:ascii="Times New Roman" w:hAnsi="Times New Roman" w:cs="Times New Roman"/>
          <w:sz w:val="24"/>
          <w:szCs w:val="24"/>
        </w:rPr>
        <w:t xml:space="preserve">.  </w:t>
      </w:r>
      <w:r>
        <w:rPr>
          <w:rFonts w:ascii="Times New Roman" w:hAnsi="Times New Roman" w:cs="Times New Roman"/>
          <w:sz w:val="24"/>
          <w:szCs w:val="24"/>
        </w:rPr>
        <w:t>T</w:t>
      </w:r>
      <w:r w:rsidRPr="00B8102B">
        <w:rPr>
          <w:rFonts w:ascii="Times New Roman" w:hAnsi="Times New Roman" w:cs="Times New Roman"/>
          <w:sz w:val="24"/>
          <w:szCs w:val="24"/>
        </w:rPr>
        <w:t>he majority judges concluded that the provinces retained ultimate decision-making control over these agencies under provincial child welfare law and that federal involvement was less prominent.  There was</w:t>
      </w:r>
      <w:r>
        <w:rPr>
          <w:rFonts w:ascii="Times New Roman" w:hAnsi="Times New Roman" w:cs="Times New Roman"/>
          <w:sz w:val="24"/>
          <w:szCs w:val="24"/>
        </w:rPr>
        <w:t>, therefore,</w:t>
      </w:r>
      <w:r w:rsidRPr="00B8102B">
        <w:rPr>
          <w:rFonts w:ascii="Times New Roman" w:hAnsi="Times New Roman" w:cs="Times New Roman"/>
          <w:sz w:val="24"/>
          <w:szCs w:val="24"/>
        </w:rPr>
        <w:t xml:space="preserve"> no need to proceed to a ‘core of </w:t>
      </w:r>
      <w:proofErr w:type="spellStart"/>
      <w:r w:rsidRPr="00B8102B">
        <w:rPr>
          <w:rFonts w:ascii="Times New Roman" w:hAnsi="Times New Roman" w:cs="Times New Roman"/>
          <w:sz w:val="24"/>
          <w:szCs w:val="24"/>
        </w:rPr>
        <w:t>Indianess</w:t>
      </w:r>
      <w:proofErr w:type="spellEnd"/>
      <w:r w:rsidRPr="00B8102B">
        <w:rPr>
          <w:rFonts w:ascii="Times New Roman" w:hAnsi="Times New Roman" w:cs="Times New Roman"/>
          <w:sz w:val="24"/>
          <w:szCs w:val="24"/>
        </w:rPr>
        <w:t xml:space="preserve">’ analysis.  </w:t>
      </w:r>
      <w:r>
        <w:rPr>
          <w:rFonts w:ascii="Times New Roman" w:hAnsi="Times New Roman" w:cs="Times New Roman"/>
          <w:sz w:val="24"/>
          <w:szCs w:val="24"/>
        </w:rPr>
        <w:t>In separate reasons concurring in the result, a</w:t>
      </w:r>
      <w:r w:rsidRPr="002F1D87">
        <w:rPr>
          <w:rFonts w:ascii="Times New Roman" w:hAnsi="Times New Roman" w:cs="Times New Roman"/>
          <w:sz w:val="24"/>
          <w:szCs w:val="24"/>
        </w:rPr>
        <w:t xml:space="preserve"> minority </w:t>
      </w:r>
      <w:r>
        <w:rPr>
          <w:rFonts w:ascii="Times New Roman" w:hAnsi="Times New Roman" w:cs="Times New Roman"/>
          <w:sz w:val="24"/>
          <w:szCs w:val="24"/>
        </w:rPr>
        <w:t xml:space="preserve">of </w:t>
      </w:r>
      <w:r w:rsidRPr="002F1D87">
        <w:rPr>
          <w:rFonts w:ascii="Times New Roman" w:hAnsi="Times New Roman" w:cs="Times New Roman"/>
          <w:sz w:val="24"/>
          <w:szCs w:val="24"/>
        </w:rPr>
        <w:t xml:space="preserve">judges preferred an analytical approach that would go straight to a ‘core of </w:t>
      </w:r>
      <w:proofErr w:type="spellStart"/>
      <w:r w:rsidRPr="002F1D87">
        <w:rPr>
          <w:rFonts w:ascii="Times New Roman" w:hAnsi="Times New Roman" w:cs="Times New Roman"/>
          <w:sz w:val="24"/>
          <w:szCs w:val="24"/>
        </w:rPr>
        <w:t>Indianess</w:t>
      </w:r>
      <w:proofErr w:type="spellEnd"/>
      <w:r w:rsidRPr="002F1D87">
        <w:rPr>
          <w:rFonts w:ascii="Times New Roman" w:hAnsi="Times New Roman" w:cs="Times New Roman"/>
          <w:sz w:val="24"/>
          <w:szCs w:val="24"/>
        </w:rPr>
        <w:t xml:space="preserve">’ consideration.  Assessing this ‘core’ narrowly, these judges determined that child welfare services delivered by Indigenous peoples and aimed at Indigenous </w:t>
      </w:r>
      <w:proofErr w:type="spellStart"/>
      <w:r w:rsidRPr="002F1D87">
        <w:rPr>
          <w:rFonts w:ascii="Times New Roman" w:hAnsi="Times New Roman" w:cs="Times New Roman"/>
          <w:sz w:val="24"/>
          <w:szCs w:val="24"/>
        </w:rPr>
        <w:t>client</w:t>
      </w:r>
      <w:r>
        <w:rPr>
          <w:rFonts w:ascii="Times New Roman" w:hAnsi="Times New Roman" w:cs="Times New Roman"/>
          <w:sz w:val="24"/>
          <w:szCs w:val="24"/>
        </w:rPr>
        <w:t>le</w:t>
      </w:r>
      <w:proofErr w:type="spellEnd"/>
      <w:r w:rsidRPr="002F1D87">
        <w:rPr>
          <w:rFonts w:ascii="Times New Roman" w:hAnsi="Times New Roman" w:cs="Times New Roman"/>
          <w:sz w:val="24"/>
          <w:szCs w:val="24"/>
        </w:rPr>
        <w:t xml:space="preserve"> were not within this core.</w:t>
      </w:r>
      <w:r w:rsidRPr="002F1D87">
        <w:rPr>
          <w:rStyle w:val="FootnoteReference"/>
          <w:rFonts w:ascii="Times New Roman" w:hAnsi="Times New Roman" w:cs="Times New Roman"/>
          <w:sz w:val="24"/>
          <w:szCs w:val="24"/>
        </w:rPr>
        <w:t xml:space="preserve"> </w:t>
      </w:r>
    </w:p>
    <w:p w14:paraId="14FD4FE2" w14:textId="77777777" w:rsidR="00B47858" w:rsidRDefault="00B47858" w:rsidP="00684B3E">
      <w:pPr>
        <w:pStyle w:val="ListParagraph"/>
        <w:tabs>
          <w:tab w:val="left" w:pos="426"/>
        </w:tabs>
        <w:ind w:left="0"/>
        <w:jc w:val="both"/>
        <w:rPr>
          <w:rFonts w:ascii="Times New Roman" w:hAnsi="Times New Roman" w:cs="Times New Roman"/>
          <w:sz w:val="24"/>
          <w:szCs w:val="24"/>
        </w:rPr>
      </w:pPr>
    </w:p>
    <w:p w14:paraId="3568C5AA" w14:textId="7DBEB950"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DF15E8">
        <w:rPr>
          <w:rFonts w:ascii="Times New Roman" w:hAnsi="Times New Roman" w:cs="Times New Roman"/>
          <w:sz w:val="24"/>
          <w:szCs w:val="24"/>
        </w:rPr>
        <w:t xml:space="preserve">The disagreement between the judges at the SCC appears to only be one of degree.  </w:t>
      </w:r>
      <w:r w:rsidRPr="00936957">
        <w:rPr>
          <w:rFonts w:ascii="Times New Roman" w:hAnsi="Times New Roman" w:cs="Times New Roman"/>
          <w:sz w:val="24"/>
          <w:szCs w:val="24"/>
        </w:rPr>
        <w:t xml:space="preserve">Both camps focused exclusively on determining, as between the federal and provincial governments, who exercised the most control over the operations of these agencies, and in the case of the minority judges, whether the exercise of federal control in the circumstances </w:t>
      </w:r>
      <w:r>
        <w:rPr>
          <w:rFonts w:ascii="Times New Roman" w:hAnsi="Times New Roman" w:cs="Times New Roman"/>
          <w:sz w:val="24"/>
          <w:szCs w:val="24"/>
        </w:rPr>
        <w:t>went</w:t>
      </w:r>
      <w:r w:rsidRPr="00936957">
        <w:rPr>
          <w:rFonts w:ascii="Times New Roman" w:hAnsi="Times New Roman" w:cs="Times New Roman"/>
          <w:sz w:val="24"/>
          <w:szCs w:val="24"/>
        </w:rPr>
        <w:t xml:space="preserve"> to the essence of federal power to control “Indians</w:t>
      </w:r>
      <w:r>
        <w:rPr>
          <w:rFonts w:ascii="Times New Roman" w:hAnsi="Times New Roman" w:cs="Times New Roman"/>
          <w:sz w:val="24"/>
          <w:szCs w:val="24"/>
        </w:rPr>
        <w:t>,</w:t>
      </w:r>
      <w:r w:rsidRPr="00936957">
        <w:rPr>
          <w:rFonts w:ascii="Times New Roman" w:hAnsi="Times New Roman" w:cs="Times New Roman"/>
          <w:sz w:val="24"/>
          <w:szCs w:val="24"/>
        </w:rPr>
        <w:t xml:space="preserve"> and </w:t>
      </w:r>
      <w:r>
        <w:rPr>
          <w:rFonts w:ascii="Times New Roman" w:hAnsi="Times New Roman" w:cs="Times New Roman"/>
          <w:sz w:val="24"/>
          <w:szCs w:val="24"/>
        </w:rPr>
        <w:t>L</w:t>
      </w:r>
      <w:r w:rsidRPr="00936957">
        <w:rPr>
          <w:rFonts w:ascii="Times New Roman" w:hAnsi="Times New Roman" w:cs="Times New Roman"/>
          <w:sz w:val="24"/>
          <w:szCs w:val="24"/>
        </w:rPr>
        <w:t xml:space="preserve">ands reserved for </w:t>
      </w:r>
      <w:r>
        <w:rPr>
          <w:rFonts w:ascii="Times New Roman" w:hAnsi="Times New Roman" w:cs="Times New Roman"/>
          <w:sz w:val="24"/>
          <w:szCs w:val="24"/>
        </w:rPr>
        <w:t xml:space="preserve">the </w:t>
      </w:r>
      <w:r w:rsidRPr="00936957">
        <w:rPr>
          <w:rFonts w:ascii="Times New Roman" w:hAnsi="Times New Roman" w:cs="Times New Roman"/>
          <w:sz w:val="24"/>
          <w:szCs w:val="24"/>
        </w:rPr>
        <w:t>Indians.”</w:t>
      </w:r>
      <w:r w:rsidRPr="00DF15E8">
        <w:rPr>
          <w:rFonts w:ascii="Times New Roman" w:hAnsi="Times New Roman" w:cs="Times New Roman"/>
          <w:sz w:val="24"/>
          <w:szCs w:val="24"/>
        </w:rPr>
        <w:t xml:space="preserve">  There was no consideration of the perspective of either of these Indigenous agencies</w:t>
      </w:r>
      <w:r>
        <w:rPr>
          <w:rFonts w:ascii="Times New Roman" w:hAnsi="Times New Roman" w:cs="Times New Roman"/>
          <w:sz w:val="24"/>
          <w:szCs w:val="24"/>
        </w:rPr>
        <w:t xml:space="preserve"> or the bodies that govern them</w:t>
      </w:r>
      <w:r w:rsidRPr="00DF15E8">
        <w:rPr>
          <w:rFonts w:ascii="Times New Roman" w:hAnsi="Times New Roman" w:cs="Times New Roman"/>
          <w:sz w:val="24"/>
          <w:szCs w:val="24"/>
        </w:rPr>
        <w:t xml:space="preserve"> </w:t>
      </w:r>
      <w:r>
        <w:rPr>
          <w:rFonts w:ascii="Times New Roman" w:hAnsi="Times New Roman" w:cs="Times New Roman"/>
          <w:sz w:val="24"/>
          <w:szCs w:val="24"/>
        </w:rPr>
        <w:t>on</w:t>
      </w:r>
      <w:r w:rsidRPr="00DF15E8">
        <w:rPr>
          <w:rFonts w:ascii="Times New Roman" w:hAnsi="Times New Roman" w:cs="Times New Roman"/>
          <w:sz w:val="24"/>
          <w:szCs w:val="24"/>
        </w:rPr>
        <w:t xml:space="preserve"> which labour regime </w:t>
      </w:r>
      <w:r>
        <w:rPr>
          <w:rFonts w:ascii="Times New Roman" w:hAnsi="Times New Roman" w:cs="Times New Roman"/>
          <w:sz w:val="24"/>
          <w:szCs w:val="24"/>
        </w:rPr>
        <w:t>they wanted</w:t>
      </w:r>
      <w:r w:rsidRPr="00DF15E8">
        <w:rPr>
          <w:rFonts w:ascii="Times New Roman" w:hAnsi="Times New Roman" w:cs="Times New Roman"/>
          <w:sz w:val="24"/>
          <w:szCs w:val="24"/>
        </w:rPr>
        <w:t>.  No</w:t>
      </w:r>
      <w:r>
        <w:rPr>
          <w:rFonts w:ascii="Times New Roman" w:hAnsi="Times New Roman" w:cs="Times New Roman"/>
          <w:sz w:val="24"/>
          <w:szCs w:val="24"/>
        </w:rPr>
        <w:t>r</w:t>
      </w:r>
      <w:r w:rsidRPr="00DF15E8">
        <w:rPr>
          <w:rFonts w:ascii="Times New Roman" w:hAnsi="Times New Roman" w:cs="Times New Roman"/>
          <w:sz w:val="24"/>
          <w:szCs w:val="24"/>
        </w:rPr>
        <w:t xml:space="preserve"> </w:t>
      </w:r>
      <w:r>
        <w:rPr>
          <w:rFonts w:ascii="Times New Roman" w:hAnsi="Times New Roman" w:cs="Times New Roman"/>
          <w:sz w:val="24"/>
          <w:szCs w:val="24"/>
        </w:rPr>
        <w:t xml:space="preserve">was any </w:t>
      </w:r>
      <w:r w:rsidRPr="00DF15E8">
        <w:rPr>
          <w:rFonts w:ascii="Times New Roman" w:hAnsi="Times New Roman" w:cs="Times New Roman"/>
          <w:sz w:val="24"/>
          <w:szCs w:val="24"/>
        </w:rPr>
        <w:t xml:space="preserve">mention made of the possibility that Indigenous communities could control their own labour relations or child welfare services and why this might be important to the vitality of these communities.  </w:t>
      </w:r>
    </w:p>
    <w:p w14:paraId="77BFCB85" w14:textId="77777777" w:rsidR="00B47858" w:rsidRPr="0045088D" w:rsidRDefault="00B47858" w:rsidP="00684B3E">
      <w:pPr>
        <w:pStyle w:val="ListParagraph"/>
        <w:rPr>
          <w:rFonts w:ascii="Times New Roman" w:hAnsi="Times New Roman" w:cs="Times New Roman"/>
          <w:sz w:val="24"/>
          <w:szCs w:val="24"/>
        </w:rPr>
      </w:pPr>
    </w:p>
    <w:p w14:paraId="320C32D1" w14:textId="4A6747B3" w:rsidR="00B47858" w:rsidRDefault="00B47858"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I</w:t>
      </w:r>
      <w:r w:rsidRPr="00DF15E8">
        <w:rPr>
          <w:rFonts w:ascii="Times New Roman" w:hAnsi="Times New Roman" w:cs="Times New Roman"/>
          <w:sz w:val="24"/>
          <w:szCs w:val="24"/>
        </w:rPr>
        <w:t xml:space="preserve">t is apparent from their written reasons </w:t>
      </w:r>
      <w:r>
        <w:rPr>
          <w:rFonts w:ascii="Times New Roman" w:hAnsi="Times New Roman" w:cs="Times New Roman"/>
          <w:sz w:val="24"/>
          <w:szCs w:val="24"/>
        </w:rPr>
        <w:t xml:space="preserve">that </w:t>
      </w:r>
      <w:r w:rsidRPr="00DF15E8">
        <w:rPr>
          <w:rFonts w:ascii="Times New Roman" w:hAnsi="Times New Roman" w:cs="Times New Roman"/>
          <w:sz w:val="24"/>
          <w:szCs w:val="24"/>
        </w:rPr>
        <w:t xml:space="preserve">the </w:t>
      </w:r>
      <w:r>
        <w:rPr>
          <w:rFonts w:ascii="Times New Roman" w:hAnsi="Times New Roman" w:cs="Times New Roman"/>
          <w:sz w:val="24"/>
          <w:szCs w:val="24"/>
        </w:rPr>
        <w:t xml:space="preserve">SCC was </w:t>
      </w:r>
      <w:r w:rsidRPr="00DF15E8">
        <w:rPr>
          <w:rFonts w:ascii="Times New Roman" w:hAnsi="Times New Roman" w:cs="Times New Roman"/>
          <w:sz w:val="24"/>
          <w:szCs w:val="24"/>
        </w:rPr>
        <w:t xml:space="preserve">unprepared to entertain the notion of creating space for the exercise of Indigenous choice or jurisdiction within </w:t>
      </w:r>
      <w:r w:rsidR="002B4063">
        <w:rPr>
          <w:rFonts w:ascii="Times New Roman" w:hAnsi="Times New Roman" w:cs="Times New Roman"/>
          <w:sz w:val="24"/>
          <w:szCs w:val="24"/>
        </w:rPr>
        <w:t>s 91</w:t>
      </w:r>
      <w:r>
        <w:rPr>
          <w:rFonts w:ascii="Times New Roman" w:hAnsi="Times New Roman" w:cs="Times New Roman"/>
          <w:sz w:val="24"/>
          <w:szCs w:val="24"/>
        </w:rPr>
        <w:t>(24)</w:t>
      </w:r>
      <w:r w:rsidRPr="00DF15E8">
        <w:rPr>
          <w:rFonts w:ascii="Times New Roman" w:hAnsi="Times New Roman" w:cs="Times New Roman"/>
          <w:sz w:val="24"/>
          <w:szCs w:val="24"/>
        </w:rPr>
        <w:t>.  This is clear from the majority judges’ statement that “</w:t>
      </w:r>
      <w:r w:rsidR="00DA07D5">
        <w:rPr>
          <w:rFonts w:ascii="Times New Roman" w:hAnsi="Times New Roman" w:cs="Times New Roman"/>
          <w:sz w:val="24"/>
          <w:szCs w:val="24"/>
        </w:rPr>
        <w:t>[t]</w:t>
      </w:r>
      <w:r w:rsidRPr="00DF15E8">
        <w:rPr>
          <w:rFonts w:ascii="Times New Roman" w:hAnsi="Times New Roman" w:cs="Times New Roman"/>
          <w:sz w:val="24"/>
          <w:szCs w:val="24"/>
        </w:rPr>
        <w:t>here is no reason why, as a matter of principle, the jurisdiction of an entity’s labour relations should be approached different</w:t>
      </w:r>
      <w:r>
        <w:rPr>
          <w:rFonts w:ascii="Times New Roman" w:hAnsi="Times New Roman" w:cs="Times New Roman"/>
          <w:sz w:val="24"/>
          <w:szCs w:val="24"/>
        </w:rPr>
        <w:t>ly</w:t>
      </w:r>
      <w:r w:rsidRPr="00DF15E8">
        <w:rPr>
          <w:rFonts w:ascii="Times New Roman" w:hAnsi="Times New Roman" w:cs="Times New Roman"/>
          <w:sz w:val="24"/>
          <w:szCs w:val="24"/>
        </w:rPr>
        <w:t xml:space="preserve"> when </w:t>
      </w:r>
      <w:r w:rsidR="002B4063">
        <w:rPr>
          <w:rFonts w:ascii="Times New Roman" w:hAnsi="Times New Roman" w:cs="Times New Roman"/>
          <w:sz w:val="24"/>
          <w:szCs w:val="24"/>
        </w:rPr>
        <w:t>s 91</w:t>
      </w:r>
      <w:r w:rsidRPr="00DF15E8">
        <w:rPr>
          <w:rFonts w:ascii="Times New Roman" w:hAnsi="Times New Roman" w:cs="Times New Roman"/>
          <w:sz w:val="24"/>
          <w:szCs w:val="24"/>
        </w:rPr>
        <w:t>(24) is at issue.  The fundamental nature of the inquiry is – and should be – the same a</w:t>
      </w:r>
      <w:r>
        <w:rPr>
          <w:rFonts w:ascii="Times New Roman" w:hAnsi="Times New Roman" w:cs="Times New Roman"/>
          <w:sz w:val="24"/>
          <w:szCs w:val="24"/>
        </w:rPr>
        <w:t>s for any other head of power.”</w:t>
      </w:r>
      <w:r>
        <w:rPr>
          <w:rStyle w:val="FootnoteReference"/>
          <w:rFonts w:ascii="Times New Roman" w:hAnsi="Times New Roman" w:cs="Times New Roman"/>
          <w:sz w:val="24"/>
          <w:szCs w:val="24"/>
        </w:rPr>
        <w:footnoteReference w:id="4"/>
      </w:r>
      <w:r w:rsidRPr="00DF15E8">
        <w:rPr>
          <w:rFonts w:ascii="Times New Roman" w:hAnsi="Times New Roman" w:cs="Times New Roman"/>
          <w:sz w:val="24"/>
          <w:szCs w:val="24"/>
        </w:rPr>
        <w:t xml:space="preserve">  On this, we </w:t>
      </w:r>
      <w:r>
        <w:rPr>
          <w:rFonts w:ascii="Times New Roman" w:hAnsi="Times New Roman" w:cs="Times New Roman"/>
          <w:sz w:val="24"/>
          <w:szCs w:val="24"/>
        </w:rPr>
        <w:t>disagree</w:t>
      </w:r>
      <w:r w:rsidRPr="00DF15E8">
        <w:rPr>
          <w:rFonts w:ascii="Times New Roman" w:hAnsi="Times New Roman" w:cs="Times New Roman"/>
          <w:sz w:val="24"/>
          <w:szCs w:val="24"/>
        </w:rPr>
        <w:t>.</w:t>
      </w:r>
    </w:p>
    <w:p w14:paraId="7B18C4D8" w14:textId="77777777" w:rsidR="00B47858" w:rsidRDefault="00B47858" w:rsidP="00684B3E">
      <w:pPr>
        <w:pStyle w:val="ListParagraph"/>
        <w:tabs>
          <w:tab w:val="left" w:pos="426"/>
        </w:tabs>
        <w:ind w:left="0"/>
        <w:jc w:val="both"/>
        <w:rPr>
          <w:rFonts w:ascii="Times New Roman" w:hAnsi="Times New Roman" w:cs="Times New Roman"/>
          <w:sz w:val="24"/>
          <w:szCs w:val="24"/>
        </w:rPr>
      </w:pPr>
    </w:p>
    <w:p w14:paraId="134EC251" w14:textId="65DA7BF7"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260850">
        <w:rPr>
          <w:rFonts w:ascii="Times New Roman" w:hAnsi="Times New Roman" w:cs="Times New Roman"/>
          <w:sz w:val="24"/>
          <w:szCs w:val="24"/>
        </w:rPr>
        <w:t xml:space="preserve">On their face, these cases do not raise any issues of Aboriginal or treaty rights or invoke </w:t>
      </w:r>
      <w:r w:rsidR="002B4063">
        <w:rPr>
          <w:rFonts w:ascii="Times New Roman" w:hAnsi="Times New Roman" w:cs="Times New Roman"/>
          <w:sz w:val="24"/>
          <w:szCs w:val="24"/>
        </w:rPr>
        <w:t>s 35</w:t>
      </w:r>
      <w:r w:rsidRPr="00260850">
        <w:rPr>
          <w:rFonts w:ascii="Times New Roman" w:hAnsi="Times New Roman" w:cs="Times New Roman"/>
          <w:sz w:val="24"/>
          <w:szCs w:val="24"/>
        </w:rPr>
        <w:t xml:space="preserve"> of the </w:t>
      </w:r>
      <w:r w:rsidRPr="00260850">
        <w:rPr>
          <w:rFonts w:ascii="Times New Roman" w:hAnsi="Times New Roman" w:cs="Times New Roman"/>
          <w:i/>
          <w:iCs/>
          <w:sz w:val="24"/>
          <w:szCs w:val="24"/>
        </w:rPr>
        <w:t>Constitution Act, 1982</w:t>
      </w:r>
      <w:r w:rsidRPr="00260850">
        <w:rPr>
          <w:rFonts w:ascii="Times New Roman" w:hAnsi="Times New Roman" w:cs="Times New Roman"/>
          <w:sz w:val="24"/>
          <w:szCs w:val="24"/>
        </w:rPr>
        <w:t xml:space="preserve">.  This might lead some to question why these appeals would be heard by the Indigenous </w:t>
      </w:r>
      <w:r w:rsidR="003F2499">
        <w:rPr>
          <w:rFonts w:ascii="Times New Roman" w:hAnsi="Times New Roman" w:cs="Times New Roman"/>
          <w:sz w:val="24"/>
          <w:szCs w:val="24"/>
        </w:rPr>
        <w:t>Nations</w:t>
      </w:r>
      <w:r w:rsidR="003F2499" w:rsidRPr="00260850">
        <w:rPr>
          <w:rFonts w:ascii="Times New Roman" w:hAnsi="Times New Roman" w:cs="Times New Roman"/>
          <w:sz w:val="24"/>
          <w:szCs w:val="24"/>
        </w:rPr>
        <w:t xml:space="preserve"> </w:t>
      </w:r>
      <w:r w:rsidRPr="00260850">
        <w:rPr>
          <w:rFonts w:ascii="Times New Roman" w:hAnsi="Times New Roman" w:cs="Times New Roman"/>
          <w:sz w:val="24"/>
          <w:szCs w:val="24"/>
        </w:rPr>
        <w:t xml:space="preserve">Court.  This answer is simple: when it comes to issues of </w:t>
      </w:r>
      <w:r>
        <w:rPr>
          <w:rFonts w:ascii="Times New Roman" w:hAnsi="Times New Roman" w:cs="Times New Roman"/>
          <w:sz w:val="24"/>
          <w:szCs w:val="24"/>
        </w:rPr>
        <w:t xml:space="preserve">the </w:t>
      </w:r>
      <w:r w:rsidRPr="00260850">
        <w:rPr>
          <w:rFonts w:ascii="Times New Roman" w:hAnsi="Times New Roman" w:cs="Times New Roman"/>
          <w:sz w:val="24"/>
          <w:szCs w:val="24"/>
        </w:rPr>
        <w:t xml:space="preserve">constitutional division of powers between the federal and provincial governments, the jurisdiction of Indigenous nations is the other side of the coin.  </w:t>
      </w:r>
      <w:r>
        <w:rPr>
          <w:rFonts w:ascii="Times New Roman" w:hAnsi="Times New Roman" w:cs="Times New Roman"/>
          <w:sz w:val="24"/>
          <w:szCs w:val="24"/>
        </w:rPr>
        <w:t>The i</w:t>
      </w:r>
      <w:r w:rsidRPr="00260850">
        <w:rPr>
          <w:rFonts w:ascii="Times New Roman" w:hAnsi="Times New Roman" w:cs="Times New Roman"/>
          <w:sz w:val="24"/>
          <w:szCs w:val="24"/>
        </w:rPr>
        <w:t xml:space="preserve">nterpretation </w:t>
      </w:r>
      <w:r>
        <w:rPr>
          <w:rFonts w:ascii="Times New Roman" w:hAnsi="Times New Roman" w:cs="Times New Roman"/>
          <w:sz w:val="24"/>
          <w:szCs w:val="24"/>
        </w:rPr>
        <w:t xml:space="preserve">of </w:t>
      </w:r>
      <w:r w:rsidRPr="00260850">
        <w:rPr>
          <w:rFonts w:ascii="Times New Roman" w:hAnsi="Times New Roman" w:cs="Times New Roman"/>
          <w:sz w:val="24"/>
          <w:szCs w:val="24"/>
        </w:rPr>
        <w:t xml:space="preserve">the Canadian constitution as dividing up all the jurisdictional space between the federal and provincial governments </w:t>
      </w:r>
      <w:r>
        <w:rPr>
          <w:rFonts w:ascii="Times New Roman" w:hAnsi="Times New Roman" w:cs="Times New Roman"/>
          <w:sz w:val="24"/>
          <w:szCs w:val="24"/>
        </w:rPr>
        <w:t xml:space="preserve">leaves no jurisdictional space for </w:t>
      </w:r>
      <w:r w:rsidRPr="00260850">
        <w:rPr>
          <w:rFonts w:ascii="Times New Roman" w:hAnsi="Times New Roman" w:cs="Times New Roman"/>
          <w:sz w:val="24"/>
          <w:szCs w:val="24"/>
        </w:rPr>
        <w:t>Canada’s Indigenous peoples</w:t>
      </w:r>
      <w:r>
        <w:rPr>
          <w:rFonts w:ascii="Times New Roman" w:hAnsi="Times New Roman" w:cs="Times New Roman"/>
          <w:sz w:val="24"/>
          <w:szCs w:val="24"/>
        </w:rPr>
        <w:t xml:space="preserve"> and effectively </w:t>
      </w:r>
      <w:r w:rsidRPr="00260850">
        <w:rPr>
          <w:rFonts w:ascii="Times New Roman" w:hAnsi="Times New Roman" w:cs="Times New Roman"/>
          <w:sz w:val="24"/>
          <w:szCs w:val="24"/>
        </w:rPr>
        <w:t>erases the</w:t>
      </w:r>
      <w:r>
        <w:rPr>
          <w:rFonts w:ascii="Times New Roman" w:hAnsi="Times New Roman" w:cs="Times New Roman"/>
          <w:sz w:val="24"/>
          <w:szCs w:val="24"/>
        </w:rPr>
        <w:t>ir inherent right to choose their own destinies as peoples</w:t>
      </w:r>
      <w:r w:rsidRPr="00260850">
        <w:rPr>
          <w:rFonts w:ascii="Times New Roman" w:hAnsi="Times New Roman" w:cs="Times New Roman"/>
          <w:sz w:val="24"/>
          <w:szCs w:val="24"/>
        </w:rPr>
        <w:t xml:space="preserve">.  </w:t>
      </w:r>
      <w:r>
        <w:rPr>
          <w:rFonts w:ascii="Times New Roman" w:hAnsi="Times New Roman" w:cs="Times New Roman"/>
          <w:sz w:val="24"/>
          <w:szCs w:val="24"/>
        </w:rPr>
        <w:t>A number of considerations, many of these modern interpretive and constitutional principles, require us to now acknowledge that</w:t>
      </w:r>
      <w:r w:rsidRPr="00260850">
        <w:rPr>
          <w:rFonts w:ascii="Times New Roman" w:hAnsi="Times New Roman" w:cs="Times New Roman"/>
          <w:sz w:val="24"/>
          <w:szCs w:val="24"/>
        </w:rPr>
        <w:t xml:space="preserve"> questions of federal and provincial </w:t>
      </w:r>
      <w:r>
        <w:rPr>
          <w:rFonts w:ascii="Times New Roman" w:hAnsi="Times New Roman" w:cs="Times New Roman"/>
          <w:sz w:val="24"/>
          <w:szCs w:val="24"/>
        </w:rPr>
        <w:t xml:space="preserve">jurisdictional </w:t>
      </w:r>
      <w:r w:rsidRPr="00260850">
        <w:rPr>
          <w:rFonts w:ascii="Times New Roman" w:hAnsi="Times New Roman" w:cs="Times New Roman"/>
          <w:sz w:val="24"/>
          <w:szCs w:val="24"/>
        </w:rPr>
        <w:t xml:space="preserve">powers relating to Indigenous peoples inevitably </w:t>
      </w:r>
      <w:proofErr w:type="spellStart"/>
      <w:r w:rsidRPr="00260850">
        <w:rPr>
          <w:rFonts w:ascii="Times New Roman" w:hAnsi="Times New Roman" w:cs="Times New Roman"/>
          <w:sz w:val="24"/>
          <w:szCs w:val="24"/>
        </w:rPr>
        <w:t>implicateissues</w:t>
      </w:r>
      <w:proofErr w:type="spellEnd"/>
      <w:r w:rsidRPr="00260850">
        <w:rPr>
          <w:rFonts w:ascii="Times New Roman" w:hAnsi="Times New Roman" w:cs="Times New Roman"/>
          <w:sz w:val="24"/>
          <w:szCs w:val="24"/>
        </w:rPr>
        <w:t xml:space="preserve"> of Indigenous self-determination</w:t>
      </w:r>
      <w:r>
        <w:rPr>
          <w:rFonts w:ascii="Times New Roman" w:hAnsi="Times New Roman" w:cs="Times New Roman"/>
          <w:sz w:val="24"/>
          <w:szCs w:val="24"/>
        </w:rPr>
        <w:t xml:space="preserve"> and self-government</w:t>
      </w:r>
      <w:r w:rsidRPr="00260850">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260850">
        <w:rPr>
          <w:rFonts w:ascii="Times New Roman" w:hAnsi="Times New Roman" w:cs="Times New Roman"/>
          <w:sz w:val="24"/>
          <w:szCs w:val="24"/>
        </w:rPr>
        <w:t xml:space="preserve">  </w:t>
      </w:r>
      <w:proofErr w:type="spellStart"/>
      <w:r>
        <w:rPr>
          <w:rFonts w:ascii="Times New Roman" w:hAnsi="Times New Roman" w:cs="Times New Roman"/>
          <w:sz w:val="24"/>
          <w:szCs w:val="24"/>
        </w:rPr>
        <w:t>Futher</w:t>
      </w:r>
      <w:proofErr w:type="spellEnd"/>
      <w:r>
        <w:rPr>
          <w:rFonts w:ascii="Times New Roman" w:hAnsi="Times New Roman" w:cs="Times New Roman"/>
          <w:sz w:val="24"/>
          <w:szCs w:val="24"/>
        </w:rPr>
        <w:t>, we</w:t>
      </w:r>
      <w:r w:rsidRPr="006D76D6">
        <w:rPr>
          <w:rFonts w:ascii="Times New Roman" w:hAnsi="Times New Roman" w:cs="Times New Roman"/>
          <w:sz w:val="24"/>
          <w:szCs w:val="24"/>
        </w:rPr>
        <w:t xml:space="preserve"> must recognize that Indigenous self-determination is inextricably tied to the well-being of Indigenous peoples.</w:t>
      </w:r>
    </w:p>
    <w:p w14:paraId="3C2DB0D9" w14:textId="77777777" w:rsidR="00B47858" w:rsidRPr="00554B3A" w:rsidRDefault="00B47858" w:rsidP="00684B3E">
      <w:pPr>
        <w:pStyle w:val="ListParagraph"/>
        <w:rPr>
          <w:rFonts w:ascii="Times New Roman" w:hAnsi="Times New Roman" w:cs="Times New Roman"/>
          <w:sz w:val="24"/>
          <w:szCs w:val="24"/>
        </w:rPr>
      </w:pPr>
    </w:p>
    <w:p w14:paraId="5391D622" w14:textId="31A60B7C" w:rsidR="00B47858" w:rsidRDefault="00B47858"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For the last 153</w:t>
      </w:r>
      <w:r w:rsidRPr="00554B3A">
        <w:rPr>
          <w:rFonts w:ascii="Times New Roman" w:hAnsi="Times New Roman" w:cs="Times New Roman"/>
          <w:sz w:val="24"/>
          <w:szCs w:val="24"/>
        </w:rPr>
        <w:t xml:space="preserve"> years, Canadian division</w:t>
      </w:r>
      <w:r w:rsidR="00566E73">
        <w:rPr>
          <w:rFonts w:ascii="Times New Roman" w:hAnsi="Times New Roman" w:cs="Times New Roman"/>
          <w:sz w:val="24"/>
          <w:szCs w:val="24"/>
        </w:rPr>
        <w:t>-</w:t>
      </w:r>
      <w:r w:rsidRPr="00554B3A">
        <w:rPr>
          <w:rFonts w:ascii="Times New Roman" w:hAnsi="Times New Roman" w:cs="Times New Roman"/>
          <w:sz w:val="24"/>
          <w:szCs w:val="24"/>
        </w:rPr>
        <w:t>of</w:t>
      </w:r>
      <w:r w:rsidR="00566E73">
        <w:rPr>
          <w:rFonts w:ascii="Times New Roman" w:hAnsi="Times New Roman" w:cs="Times New Roman"/>
          <w:sz w:val="24"/>
          <w:szCs w:val="24"/>
        </w:rPr>
        <w:t>-</w:t>
      </w:r>
      <w:r w:rsidRPr="00554B3A">
        <w:rPr>
          <w:rFonts w:ascii="Times New Roman" w:hAnsi="Times New Roman" w:cs="Times New Roman"/>
          <w:sz w:val="24"/>
          <w:szCs w:val="24"/>
        </w:rPr>
        <w:t xml:space="preserve">powers cases have been decided as though the inherent right of self-determination held by Indigenous peoples </w:t>
      </w:r>
      <w:r>
        <w:rPr>
          <w:rFonts w:ascii="Times New Roman" w:hAnsi="Times New Roman" w:cs="Times New Roman"/>
          <w:sz w:val="24"/>
          <w:szCs w:val="24"/>
        </w:rPr>
        <w:t>did</w:t>
      </w:r>
      <w:r w:rsidRPr="00554B3A">
        <w:rPr>
          <w:rFonts w:ascii="Times New Roman" w:hAnsi="Times New Roman" w:cs="Times New Roman"/>
          <w:sz w:val="24"/>
          <w:szCs w:val="24"/>
        </w:rPr>
        <w:t xml:space="preserve"> not exist</w:t>
      </w:r>
      <w:r w:rsidR="00DA07D5">
        <w:rPr>
          <w:rFonts w:ascii="Times New Roman" w:hAnsi="Times New Roman" w:cs="Times New Roman"/>
          <w:sz w:val="24"/>
          <w:szCs w:val="24"/>
        </w:rPr>
        <w:t>,</w:t>
      </w:r>
      <w:r w:rsidRPr="00554B3A">
        <w:rPr>
          <w:rFonts w:ascii="Times New Roman" w:hAnsi="Times New Roman" w:cs="Times New Roman"/>
          <w:sz w:val="24"/>
          <w:szCs w:val="24"/>
        </w:rPr>
        <w:t xml:space="preserve"> and the only jurisdiction Indigenous peoples are capable of possessing </w:t>
      </w:r>
      <w:r w:rsidR="00566E73">
        <w:rPr>
          <w:rFonts w:ascii="Times New Roman" w:hAnsi="Times New Roman" w:cs="Times New Roman"/>
          <w:sz w:val="24"/>
          <w:szCs w:val="24"/>
        </w:rPr>
        <w:t>is that</w:t>
      </w:r>
      <w:r w:rsidRPr="00554B3A">
        <w:rPr>
          <w:rFonts w:ascii="Times New Roman" w:hAnsi="Times New Roman" w:cs="Times New Roman"/>
          <w:sz w:val="24"/>
          <w:szCs w:val="24"/>
        </w:rPr>
        <w:t xml:space="preserve"> </w:t>
      </w:r>
      <w:r w:rsidRPr="003A2CDD">
        <w:rPr>
          <w:rFonts w:ascii="Times New Roman" w:hAnsi="Times New Roman" w:cs="Times New Roman"/>
          <w:sz w:val="24"/>
          <w:szCs w:val="24"/>
        </w:rPr>
        <w:t>(seldom)</w:t>
      </w:r>
      <w:r w:rsidRPr="00554B3A">
        <w:rPr>
          <w:rFonts w:ascii="Times New Roman" w:hAnsi="Times New Roman" w:cs="Times New Roman"/>
          <w:sz w:val="24"/>
          <w:szCs w:val="24"/>
        </w:rPr>
        <w:t xml:space="preserve"> </w:t>
      </w:r>
      <w:r>
        <w:rPr>
          <w:rFonts w:ascii="Times New Roman" w:hAnsi="Times New Roman" w:cs="Times New Roman"/>
          <w:sz w:val="24"/>
          <w:szCs w:val="24"/>
        </w:rPr>
        <w:t>granted</w:t>
      </w:r>
      <w:r w:rsidRPr="00554B3A">
        <w:rPr>
          <w:rFonts w:ascii="Times New Roman" w:hAnsi="Times New Roman" w:cs="Times New Roman"/>
          <w:sz w:val="24"/>
          <w:szCs w:val="24"/>
        </w:rPr>
        <w:t xml:space="preserve"> to them by other governments.  </w:t>
      </w:r>
      <w:r>
        <w:rPr>
          <w:rFonts w:ascii="Times New Roman" w:hAnsi="Times New Roman" w:cs="Times New Roman"/>
          <w:sz w:val="24"/>
          <w:szCs w:val="24"/>
        </w:rPr>
        <w:t xml:space="preserve">The SCC has also granted the provinces powers that are virtually concurrent with federal powers in relation to Indigenous peoples.  </w:t>
      </w:r>
      <w:r w:rsidRPr="001349EF">
        <w:rPr>
          <w:rFonts w:ascii="Times New Roman" w:hAnsi="Times New Roman" w:cs="Times New Roman"/>
          <w:sz w:val="24"/>
          <w:szCs w:val="24"/>
        </w:rPr>
        <w:t>It is now clear that this approach contributes to the harms that Indigenous peoples continue to experience in this country.</w:t>
      </w:r>
      <w:r w:rsidRPr="00554B3A">
        <w:rPr>
          <w:rFonts w:ascii="Times New Roman" w:hAnsi="Times New Roman" w:cs="Times New Roman"/>
          <w:sz w:val="24"/>
          <w:szCs w:val="24"/>
        </w:rPr>
        <w:t xml:space="preserve"> </w:t>
      </w:r>
      <w:r>
        <w:rPr>
          <w:rFonts w:ascii="Times New Roman" w:hAnsi="Times New Roman" w:cs="Times New Roman"/>
          <w:sz w:val="24"/>
          <w:szCs w:val="24"/>
        </w:rPr>
        <w:t xml:space="preserve"> Most seriously, it has aided and abetted in equal measures the assimilation and neglect of Indigenous peoples by Canadian governments.  </w:t>
      </w:r>
      <w:r w:rsidRPr="00137467">
        <w:rPr>
          <w:rFonts w:ascii="Times New Roman" w:hAnsi="Times New Roman" w:cs="Times New Roman"/>
          <w:sz w:val="24"/>
          <w:szCs w:val="24"/>
        </w:rPr>
        <w:t>In the context of child welfare, policies of assimilation and government neglect have combined to contribute to the devastating overrepresentation of Indigenous children in state care.</w:t>
      </w:r>
      <w:r>
        <w:rPr>
          <w:rFonts w:ascii="Times New Roman" w:hAnsi="Times New Roman" w:cs="Times New Roman"/>
          <w:sz w:val="24"/>
          <w:szCs w:val="24"/>
        </w:rPr>
        <w:t xml:space="preserve">  Additionally, in the contexts of employment, labour</w:t>
      </w:r>
      <w:r w:rsidR="00566E73">
        <w:rPr>
          <w:rFonts w:ascii="Times New Roman" w:hAnsi="Times New Roman" w:cs="Times New Roman"/>
          <w:sz w:val="24"/>
          <w:szCs w:val="24"/>
        </w:rPr>
        <w:t>,</w:t>
      </w:r>
      <w:r>
        <w:rPr>
          <w:rFonts w:ascii="Times New Roman" w:hAnsi="Times New Roman" w:cs="Times New Roman"/>
          <w:sz w:val="24"/>
          <w:szCs w:val="24"/>
        </w:rPr>
        <w:t xml:space="preserve"> and human rights jurisdiction, the SCC’s approach to </w:t>
      </w:r>
      <w:r w:rsidR="002B4063">
        <w:rPr>
          <w:rFonts w:ascii="Times New Roman" w:hAnsi="Times New Roman" w:cs="Times New Roman"/>
          <w:sz w:val="24"/>
          <w:szCs w:val="24"/>
        </w:rPr>
        <w:t>s 91</w:t>
      </w:r>
      <w:r>
        <w:rPr>
          <w:rFonts w:ascii="Times New Roman" w:hAnsi="Times New Roman" w:cs="Times New Roman"/>
          <w:sz w:val="24"/>
          <w:szCs w:val="24"/>
        </w:rPr>
        <w:t xml:space="preserve">(24) has resulted in a confusing maze of federal and provincial laws and tribunals having jurisdiction over different sub-units of an Indigenous government.   </w:t>
      </w:r>
    </w:p>
    <w:p w14:paraId="5159FAF9" w14:textId="77777777" w:rsidR="00B47858" w:rsidRPr="00591D8D" w:rsidRDefault="00B47858" w:rsidP="00684B3E">
      <w:pPr>
        <w:pStyle w:val="ListParagraph"/>
        <w:rPr>
          <w:rFonts w:ascii="Times New Roman" w:hAnsi="Times New Roman" w:cs="Times New Roman"/>
          <w:sz w:val="24"/>
          <w:szCs w:val="24"/>
        </w:rPr>
      </w:pPr>
    </w:p>
    <w:p w14:paraId="09B1FD47" w14:textId="05ACF122" w:rsidR="00B47858" w:rsidRDefault="00B47858"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While the current approach to </w:t>
      </w:r>
      <w:r w:rsidR="002B4063">
        <w:rPr>
          <w:rFonts w:ascii="Times New Roman" w:hAnsi="Times New Roman" w:cs="Times New Roman"/>
          <w:sz w:val="24"/>
          <w:szCs w:val="24"/>
        </w:rPr>
        <w:t>s 91</w:t>
      </w:r>
      <w:r>
        <w:rPr>
          <w:rFonts w:ascii="Times New Roman" w:hAnsi="Times New Roman" w:cs="Times New Roman"/>
          <w:sz w:val="24"/>
          <w:szCs w:val="24"/>
        </w:rPr>
        <w:t xml:space="preserve">(24) is </w:t>
      </w:r>
      <w:r w:rsidR="00045C1D">
        <w:rPr>
          <w:rFonts w:ascii="Times New Roman" w:hAnsi="Times New Roman" w:cs="Times New Roman"/>
          <w:sz w:val="24"/>
          <w:szCs w:val="24"/>
        </w:rPr>
        <w:t xml:space="preserve">supported by </w:t>
      </w:r>
      <w:r>
        <w:rPr>
          <w:rFonts w:ascii="Times New Roman" w:hAnsi="Times New Roman" w:cs="Times New Roman"/>
          <w:sz w:val="24"/>
          <w:szCs w:val="24"/>
        </w:rPr>
        <w:t>long-standing precedent, it is based on an interpretation of our Constitution that is at odds with the numerous principles that Canadian governments and courts have</w:t>
      </w:r>
      <w:r w:rsidR="0014126C">
        <w:rPr>
          <w:rFonts w:ascii="Times New Roman" w:hAnsi="Times New Roman" w:cs="Times New Roman"/>
          <w:sz w:val="24"/>
          <w:szCs w:val="24"/>
        </w:rPr>
        <w:t xml:space="preserve"> both</w:t>
      </w:r>
      <w:r>
        <w:rPr>
          <w:rFonts w:ascii="Times New Roman" w:hAnsi="Times New Roman" w:cs="Times New Roman"/>
          <w:sz w:val="24"/>
          <w:szCs w:val="24"/>
        </w:rPr>
        <w:t xml:space="preserve"> affirmed are fundamental to our legal system and our identity as a country.  </w:t>
      </w:r>
      <w:r w:rsidRPr="006E2711">
        <w:rPr>
          <w:rFonts w:ascii="Times New Roman" w:hAnsi="Times New Roman" w:cs="Times New Roman"/>
          <w:sz w:val="24"/>
          <w:szCs w:val="24"/>
        </w:rPr>
        <w:t>These include ‘treaty federalism’</w:t>
      </w:r>
      <w:r w:rsidR="00DA07D5">
        <w:rPr>
          <w:rFonts w:ascii="Times New Roman" w:hAnsi="Times New Roman" w:cs="Times New Roman"/>
          <w:sz w:val="24"/>
          <w:szCs w:val="24"/>
        </w:rPr>
        <w:t>,</w:t>
      </w:r>
      <w:r w:rsidRPr="006E2711">
        <w:rPr>
          <w:rFonts w:ascii="Times New Roman" w:hAnsi="Times New Roman" w:cs="Times New Roman"/>
          <w:sz w:val="24"/>
          <w:szCs w:val="24"/>
        </w:rPr>
        <w:t xml:space="preserve"> conformity with the </w:t>
      </w:r>
      <w:r w:rsidRPr="006E2711">
        <w:rPr>
          <w:rFonts w:ascii="Times New Roman" w:hAnsi="Times New Roman" w:cs="Times New Roman"/>
          <w:i/>
          <w:sz w:val="24"/>
          <w:szCs w:val="24"/>
        </w:rPr>
        <w:t>Charter</w:t>
      </w:r>
      <w:r w:rsidR="002B4063">
        <w:rPr>
          <w:rFonts w:ascii="Times New Roman" w:hAnsi="Times New Roman" w:cs="Times New Roman"/>
          <w:sz w:val="24"/>
          <w:szCs w:val="24"/>
        </w:rPr>
        <w:t xml:space="preserve"> and</w:t>
      </w:r>
      <w:r w:rsidRPr="006E2711">
        <w:rPr>
          <w:rFonts w:ascii="Times New Roman" w:hAnsi="Times New Roman" w:cs="Times New Roman"/>
          <w:sz w:val="24"/>
          <w:szCs w:val="24"/>
        </w:rPr>
        <w:t xml:space="preserve"> the principles</w:t>
      </w:r>
      <w:r w:rsidR="0014126C">
        <w:rPr>
          <w:rFonts w:ascii="Times New Roman" w:hAnsi="Times New Roman" w:cs="Times New Roman"/>
          <w:sz w:val="24"/>
          <w:szCs w:val="24"/>
        </w:rPr>
        <w:t xml:space="preserve"> of</w:t>
      </w:r>
      <w:r w:rsidRPr="006E2711">
        <w:rPr>
          <w:rFonts w:ascii="Times New Roman" w:hAnsi="Times New Roman" w:cs="Times New Roman"/>
          <w:sz w:val="24"/>
          <w:szCs w:val="24"/>
        </w:rPr>
        <w:t xml:space="preserve"> federalism, subsidiarity, reconciliation</w:t>
      </w:r>
      <w:r w:rsidR="00353B6D">
        <w:rPr>
          <w:rFonts w:ascii="Times New Roman" w:hAnsi="Times New Roman" w:cs="Times New Roman"/>
          <w:sz w:val="24"/>
          <w:szCs w:val="24"/>
        </w:rPr>
        <w:t>,</w:t>
      </w:r>
      <w:r>
        <w:rPr>
          <w:rFonts w:ascii="Times New Roman" w:hAnsi="Times New Roman" w:cs="Times New Roman"/>
          <w:sz w:val="24"/>
          <w:szCs w:val="24"/>
        </w:rPr>
        <w:t xml:space="preserve"> </w:t>
      </w:r>
      <w:r w:rsidRPr="006E2711">
        <w:rPr>
          <w:rFonts w:ascii="Times New Roman" w:hAnsi="Times New Roman" w:cs="Times New Roman"/>
          <w:sz w:val="24"/>
          <w:szCs w:val="24"/>
        </w:rPr>
        <w:t>the honour of the Crown, and the presumption of conformity with international law.  These principle</w:t>
      </w:r>
      <w:r>
        <w:rPr>
          <w:rFonts w:ascii="Times New Roman" w:hAnsi="Times New Roman" w:cs="Times New Roman"/>
          <w:sz w:val="24"/>
          <w:szCs w:val="24"/>
        </w:rPr>
        <w:t xml:space="preserve">s demand a different interpretation of </w:t>
      </w:r>
      <w:r w:rsidR="002B4063">
        <w:rPr>
          <w:rFonts w:ascii="Times New Roman" w:hAnsi="Times New Roman" w:cs="Times New Roman"/>
          <w:sz w:val="24"/>
          <w:szCs w:val="24"/>
        </w:rPr>
        <w:t>s 91</w:t>
      </w:r>
      <w:r>
        <w:rPr>
          <w:rFonts w:ascii="Times New Roman" w:hAnsi="Times New Roman" w:cs="Times New Roman"/>
          <w:sz w:val="24"/>
          <w:szCs w:val="24"/>
        </w:rPr>
        <w:t xml:space="preserve">(24).  </w:t>
      </w:r>
    </w:p>
    <w:p w14:paraId="0987F861" w14:textId="0E8861DC" w:rsidR="00B47858" w:rsidRDefault="00B47858" w:rsidP="00684B3E">
      <w:pPr>
        <w:jc w:val="both"/>
        <w:rPr>
          <w:rFonts w:ascii="Times New Roman" w:hAnsi="Times New Roman" w:cs="Times New Roman"/>
          <w:sz w:val="24"/>
          <w:szCs w:val="24"/>
        </w:rPr>
      </w:pPr>
    </w:p>
    <w:p w14:paraId="5AEDA629" w14:textId="771666BF" w:rsidR="00B47858" w:rsidRPr="00DF2CF1" w:rsidRDefault="00DF2CF1" w:rsidP="00DF2CF1">
      <w:pPr>
        <w:pStyle w:val="Heading1"/>
        <w:spacing w:after="200"/>
        <w:contextualSpacing/>
        <w:rPr>
          <w:b w:val="0"/>
          <w:bCs/>
          <w:u w:val="none"/>
        </w:rPr>
      </w:pPr>
      <w:r w:rsidRPr="00DF2CF1">
        <w:rPr>
          <w:b w:val="0"/>
          <w:bCs/>
          <w:u w:val="none"/>
        </w:rPr>
        <w:t>2.</w:t>
      </w:r>
      <w:r w:rsidRPr="00DF2CF1">
        <w:rPr>
          <w:b w:val="0"/>
          <w:bCs/>
          <w:u w:val="none"/>
        </w:rPr>
        <w:tab/>
      </w:r>
      <w:r w:rsidR="00B47858" w:rsidRPr="00DF2CF1">
        <w:rPr>
          <w:b w:val="0"/>
          <w:bCs/>
        </w:rPr>
        <w:t>Analysis</w:t>
      </w:r>
    </w:p>
    <w:p w14:paraId="108853C7" w14:textId="4B8ECFB5" w:rsidR="00B47858" w:rsidRPr="00BD1EAB" w:rsidRDefault="00DF2CF1" w:rsidP="00DF2CF1">
      <w:pPr>
        <w:pStyle w:val="Heading2"/>
        <w:numPr>
          <w:ilvl w:val="0"/>
          <w:numId w:val="0"/>
        </w:numPr>
        <w:spacing w:after="200"/>
        <w:rPr>
          <w:b w:val="0"/>
          <w:bCs/>
        </w:rPr>
      </w:pPr>
      <w:r w:rsidRPr="00BD1EAB">
        <w:rPr>
          <w:b w:val="0"/>
          <w:bCs/>
        </w:rPr>
        <w:t>A.</w:t>
      </w:r>
      <w:r w:rsidRPr="00BD1EAB">
        <w:rPr>
          <w:b w:val="0"/>
          <w:bCs/>
        </w:rPr>
        <w:tab/>
      </w:r>
      <w:r w:rsidR="00B47858" w:rsidRPr="00BD1EAB">
        <w:rPr>
          <w:b w:val="0"/>
          <w:bCs/>
        </w:rPr>
        <w:t xml:space="preserve">The </w:t>
      </w:r>
      <w:r w:rsidR="005C6452">
        <w:rPr>
          <w:b w:val="0"/>
          <w:bCs/>
        </w:rPr>
        <w:t>C</w:t>
      </w:r>
      <w:r w:rsidR="005C6452" w:rsidRPr="00BD1EAB">
        <w:rPr>
          <w:b w:val="0"/>
          <w:bCs/>
        </w:rPr>
        <w:t xml:space="preserve">urrent </w:t>
      </w:r>
      <w:r w:rsidR="005C6452">
        <w:rPr>
          <w:b w:val="0"/>
          <w:bCs/>
        </w:rPr>
        <w:t>A</w:t>
      </w:r>
      <w:r w:rsidR="005C6452" w:rsidRPr="00BD1EAB">
        <w:rPr>
          <w:b w:val="0"/>
          <w:bCs/>
        </w:rPr>
        <w:t xml:space="preserve">pproach </w:t>
      </w:r>
    </w:p>
    <w:p w14:paraId="1ABA5AA8" w14:textId="18AFAA9F" w:rsidR="00B47858" w:rsidRPr="00DF2CF1" w:rsidRDefault="00B47858" w:rsidP="00DF2CF1">
      <w:pPr>
        <w:pStyle w:val="Heading3"/>
        <w:numPr>
          <w:ilvl w:val="0"/>
          <w:numId w:val="12"/>
        </w:numPr>
        <w:spacing w:after="200"/>
        <w:ind w:left="1134" w:hanging="425"/>
        <w:rPr>
          <w:b w:val="0"/>
          <w:bCs/>
          <w:i w:val="0"/>
          <w:iCs/>
        </w:rPr>
      </w:pPr>
      <w:r w:rsidRPr="00DF2CF1">
        <w:rPr>
          <w:b w:val="0"/>
          <w:bCs/>
          <w:i w:val="0"/>
          <w:iCs/>
        </w:rPr>
        <w:t xml:space="preserve">No </w:t>
      </w:r>
      <w:r w:rsidR="005C6452">
        <w:rPr>
          <w:b w:val="0"/>
          <w:bCs/>
          <w:i w:val="0"/>
          <w:iCs/>
        </w:rPr>
        <w:t>S</w:t>
      </w:r>
      <w:r w:rsidR="005C6452" w:rsidRPr="00DF2CF1">
        <w:rPr>
          <w:b w:val="0"/>
          <w:bCs/>
          <w:i w:val="0"/>
          <w:iCs/>
        </w:rPr>
        <w:t xml:space="preserve">pace </w:t>
      </w:r>
      <w:r w:rsidRPr="00DF2CF1">
        <w:rPr>
          <w:b w:val="0"/>
          <w:bCs/>
          <w:i w:val="0"/>
          <w:iCs/>
        </w:rPr>
        <w:t xml:space="preserve">for Indigenous </w:t>
      </w:r>
      <w:r w:rsidR="005C6452">
        <w:rPr>
          <w:b w:val="0"/>
          <w:bCs/>
          <w:i w:val="0"/>
          <w:iCs/>
        </w:rPr>
        <w:t>J</w:t>
      </w:r>
      <w:r w:rsidR="005C6452" w:rsidRPr="00DF2CF1">
        <w:rPr>
          <w:b w:val="0"/>
          <w:bCs/>
          <w:i w:val="0"/>
          <w:iCs/>
        </w:rPr>
        <w:t>urisdiction</w:t>
      </w:r>
    </w:p>
    <w:p w14:paraId="5B693F64" w14:textId="11835B7B" w:rsidR="00B47858" w:rsidRPr="00347874" w:rsidRDefault="00B47858" w:rsidP="00684B3E">
      <w:pPr>
        <w:pStyle w:val="Default"/>
        <w:numPr>
          <w:ilvl w:val="0"/>
          <w:numId w:val="1"/>
        </w:numPr>
        <w:ind w:left="0" w:firstLine="0"/>
        <w:jc w:val="both"/>
      </w:pPr>
      <w:r w:rsidRPr="000E61FD">
        <w:t xml:space="preserve">Since Confederation, the courts have interpreted </w:t>
      </w:r>
      <w:r w:rsidR="002B4063">
        <w:t>s 91</w:t>
      </w:r>
      <w:r w:rsidRPr="000E61FD">
        <w:t>(24) as according the federal government nearly unlimited power over “Indians</w:t>
      </w:r>
      <w:r>
        <w:t>,</w:t>
      </w:r>
      <w:r w:rsidRPr="000E61FD">
        <w:t xml:space="preserve"> and </w:t>
      </w:r>
      <w:r>
        <w:t>L</w:t>
      </w:r>
      <w:r w:rsidRPr="000E61FD">
        <w:t xml:space="preserve">ands reserved for the Indians.” </w:t>
      </w:r>
      <w:r>
        <w:t xml:space="preserve"> (Despite the use of the </w:t>
      </w:r>
      <w:r w:rsidR="0014126C">
        <w:t>word</w:t>
      </w:r>
      <w:r>
        <w:t xml:space="preserve"> “Indians” in </w:t>
      </w:r>
      <w:r w:rsidR="002B4063">
        <w:t>s 91</w:t>
      </w:r>
      <w:r>
        <w:t xml:space="preserve">(24), we will use the </w:t>
      </w:r>
      <w:r w:rsidR="001047D9">
        <w:t>term</w:t>
      </w:r>
      <w:r>
        <w:t xml:space="preserve"> </w:t>
      </w:r>
      <w:r w:rsidR="001047D9">
        <w:t>“</w:t>
      </w:r>
      <w:r>
        <w:t>Indigenous people</w:t>
      </w:r>
      <w:r w:rsidR="001047D9">
        <w:t>s”</w:t>
      </w:r>
      <w:r>
        <w:t xml:space="preserve"> to refer to those peoples contemplated in the provision, as this reflects the fact that Inuit, M</w:t>
      </w:r>
      <w:r w:rsidRPr="007A718C">
        <w:t>ét</w:t>
      </w:r>
      <w:r>
        <w:t xml:space="preserve">is, and ‘non-status Indians’ have been deemed to be within its scope and because it reflects the terminology used in the </w:t>
      </w:r>
      <w:r>
        <w:rPr>
          <w:i/>
        </w:rPr>
        <w:t>United Nations Declaration on the Rights of Indigenous Peoples</w:t>
      </w:r>
      <w:r>
        <w:t>.</w:t>
      </w:r>
      <w:r>
        <w:rPr>
          <w:rStyle w:val="FootnoteReference"/>
        </w:rPr>
        <w:footnoteReference w:id="6"/>
      </w:r>
      <w:r w:rsidR="00384D6C">
        <w:t>)</w:t>
      </w:r>
      <w:r w:rsidRPr="000E61FD">
        <w:t xml:space="preserve"> </w:t>
      </w:r>
      <w:r>
        <w:t xml:space="preserve"> I</w:t>
      </w:r>
      <w:r w:rsidRPr="000E61FD">
        <w:t>t is clear that</w:t>
      </w:r>
      <w:r>
        <w:t>, from Confederation to the present,</w:t>
      </w:r>
      <w:r w:rsidRPr="000E61FD">
        <w:t xml:space="preserve"> no contemplation was given </w:t>
      </w:r>
      <w:r>
        <w:t xml:space="preserve">by our courts </w:t>
      </w:r>
      <w:r w:rsidRPr="000E61FD">
        <w:t>to the federal power being shared or limited by decisions</w:t>
      </w:r>
      <w:r>
        <w:t xml:space="preserve"> or laws made by Indigenous people</w:t>
      </w:r>
      <w:r w:rsidR="002B4063">
        <w:t>s</w:t>
      </w:r>
      <w:r>
        <w:t>,</w:t>
      </w:r>
      <w:r w:rsidRPr="000E61FD">
        <w:t xml:space="preserve"> despite the two preceding </w:t>
      </w:r>
      <w:r w:rsidRPr="000E61FD">
        <w:lastRenderedPageBreak/>
        <w:t>centuries of ‘nation-to-nation’ and treaty relations wherein the British recognize</w:t>
      </w:r>
      <w:r>
        <w:t>d</w:t>
      </w:r>
      <w:r w:rsidRPr="000E61FD">
        <w:t xml:space="preserve"> and </w:t>
      </w:r>
      <w:r>
        <w:t>committed themselves to respecting</w:t>
      </w:r>
      <w:r w:rsidRPr="000E61FD">
        <w:t xml:space="preserve"> Indigenous claims to sovereignty and their lands.</w:t>
      </w:r>
      <w:r>
        <w:rPr>
          <w:rStyle w:val="FootnoteReference"/>
        </w:rPr>
        <w:footnoteReference w:id="7"/>
      </w:r>
      <w:r>
        <w:t xml:space="preserve">  </w:t>
      </w:r>
      <w:r w:rsidRPr="00347874">
        <w:t xml:space="preserve">This judicial amnesia is evidenced in </w:t>
      </w:r>
      <w:r w:rsidRPr="00347874">
        <w:rPr>
          <w:i/>
          <w:iCs/>
        </w:rPr>
        <w:t>St. Catherine’s Milling &amp; Lumber Co. v R</w:t>
      </w:r>
      <w:r w:rsidRPr="00347874">
        <w:t xml:space="preserve">, where the Privy Council described the rights of the Indigenous people in their </w:t>
      </w:r>
      <w:proofErr w:type="spellStart"/>
      <w:r w:rsidRPr="00347874">
        <w:t>unsurrendered</w:t>
      </w:r>
      <w:proofErr w:type="spellEnd"/>
      <w:r w:rsidRPr="00347874">
        <w:t xml:space="preserve"> lands as having been granted to them by the Crown and entirely “dependent </w:t>
      </w:r>
      <w:r>
        <w:t>up</w:t>
      </w:r>
      <w:r w:rsidRPr="00347874">
        <w:t xml:space="preserve">on </w:t>
      </w:r>
      <w:r w:rsidR="00220FA8">
        <w:t xml:space="preserve">the </w:t>
      </w:r>
      <w:r w:rsidRPr="00347874">
        <w:t xml:space="preserve">good will of the </w:t>
      </w:r>
      <w:r>
        <w:t>S</w:t>
      </w:r>
      <w:r w:rsidRPr="00347874">
        <w:t>overeign.”</w:t>
      </w:r>
      <w:r w:rsidRPr="00347874">
        <w:rPr>
          <w:rStyle w:val="FootnoteReference"/>
          <w:iCs/>
        </w:rPr>
        <w:footnoteReference w:id="8"/>
      </w:r>
      <w:r w:rsidRPr="00347874">
        <w:t xml:space="preserve">  </w:t>
      </w:r>
      <w:r>
        <w:t>T</w:t>
      </w:r>
      <w:r w:rsidRPr="00347874">
        <w:t xml:space="preserve">his approach to </w:t>
      </w:r>
      <w:r w:rsidR="002B4063">
        <w:t>s 91</w:t>
      </w:r>
      <w:r w:rsidRPr="00347874">
        <w:t xml:space="preserve">(24) </w:t>
      </w:r>
      <w:r>
        <w:t>assumed</w:t>
      </w:r>
      <w:r w:rsidRPr="00347874">
        <w:t xml:space="preserve"> that the Crown obtained absolute sovereignty </w:t>
      </w:r>
      <w:r w:rsidR="001047D9">
        <w:t>over</w:t>
      </w:r>
      <w:r w:rsidR="001047D9" w:rsidRPr="00347874">
        <w:t xml:space="preserve"> </w:t>
      </w:r>
      <w:r w:rsidRPr="00347874">
        <w:t>all land and power in Canada through the doctrine of discovery a</w:t>
      </w:r>
      <w:r>
        <w:t>nd its associated legal fiction</w:t>
      </w:r>
      <w:r w:rsidRPr="00347874">
        <w:t xml:space="preserve"> of </w:t>
      </w:r>
      <w:r w:rsidRPr="00347874">
        <w:rPr>
          <w:i/>
          <w:iCs/>
        </w:rPr>
        <w:t>terra nullius</w:t>
      </w:r>
      <w:r w:rsidRPr="00347874">
        <w:t>.</w:t>
      </w:r>
      <w:r>
        <w:rPr>
          <w:rStyle w:val="FootnoteReference"/>
        </w:rPr>
        <w:footnoteReference w:id="9"/>
      </w:r>
      <w:r w:rsidRPr="00347874">
        <w:t xml:space="preserve"> </w:t>
      </w:r>
    </w:p>
    <w:p w14:paraId="096321E7" w14:textId="1EF395D3" w:rsidR="00B47858" w:rsidRPr="00EC7856" w:rsidRDefault="00B47858" w:rsidP="00684B3E">
      <w:pPr>
        <w:pStyle w:val="ListParagraph"/>
        <w:rPr>
          <w:rFonts w:ascii="Times New Roman" w:hAnsi="Times New Roman" w:cs="Times New Roman"/>
          <w:sz w:val="24"/>
          <w:szCs w:val="24"/>
        </w:rPr>
      </w:pPr>
    </w:p>
    <w:p w14:paraId="19519987" w14:textId="258D4B0A" w:rsidR="00B47858" w:rsidRPr="00EC7856" w:rsidRDefault="00B47858" w:rsidP="00684B3E">
      <w:pPr>
        <w:pStyle w:val="ListParagraph"/>
        <w:numPr>
          <w:ilvl w:val="0"/>
          <w:numId w:val="1"/>
        </w:numPr>
        <w:ind w:left="0" w:firstLine="0"/>
        <w:jc w:val="both"/>
        <w:rPr>
          <w:rFonts w:ascii="Times New Roman" w:hAnsi="Times New Roman" w:cs="Times New Roman"/>
          <w:sz w:val="24"/>
          <w:szCs w:val="24"/>
        </w:rPr>
      </w:pPr>
      <w:r w:rsidRPr="00EC7856">
        <w:rPr>
          <w:rFonts w:ascii="Times New Roman" w:eastAsia="Times New Roman" w:hAnsi="Times New Roman" w:cs="Times New Roman"/>
          <w:sz w:val="24"/>
          <w:szCs w:val="24"/>
        </w:rPr>
        <w:t>Although in the last half</w:t>
      </w:r>
      <w:r>
        <w:rPr>
          <w:rFonts w:ascii="Times New Roman" w:eastAsia="Times New Roman" w:hAnsi="Times New Roman" w:cs="Times New Roman"/>
          <w:sz w:val="24"/>
          <w:szCs w:val="24"/>
        </w:rPr>
        <w:t>-</w:t>
      </w:r>
      <w:r w:rsidRPr="00EC7856">
        <w:rPr>
          <w:rFonts w:ascii="Times New Roman" w:eastAsia="Times New Roman" w:hAnsi="Times New Roman" w:cs="Times New Roman"/>
          <w:sz w:val="24"/>
          <w:szCs w:val="24"/>
        </w:rPr>
        <w:t xml:space="preserve">century there has been some </w:t>
      </w:r>
      <w:r w:rsidR="00BD7DB5">
        <w:rPr>
          <w:rFonts w:ascii="Times New Roman" w:eastAsia="Times New Roman" w:hAnsi="Times New Roman" w:cs="Times New Roman"/>
          <w:sz w:val="24"/>
          <w:szCs w:val="24"/>
        </w:rPr>
        <w:t>acknowledgement</w:t>
      </w:r>
      <w:r w:rsidR="00BD7DB5" w:rsidRPr="00EC7856">
        <w:rPr>
          <w:rFonts w:ascii="Times New Roman" w:eastAsia="Times New Roman" w:hAnsi="Times New Roman" w:cs="Times New Roman"/>
          <w:sz w:val="24"/>
          <w:szCs w:val="24"/>
        </w:rPr>
        <w:t xml:space="preserve"> </w:t>
      </w:r>
      <w:r w:rsidRPr="00EC7856">
        <w:rPr>
          <w:rFonts w:ascii="Times New Roman" w:eastAsia="Times New Roman" w:hAnsi="Times New Roman" w:cs="Times New Roman"/>
          <w:sz w:val="24"/>
          <w:szCs w:val="24"/>
        </w:rPr>
        <w:t>of A</w:t>
      </w:r>
      <w:r>
        <w:rPr>
          <w:rFonts w:ascii="Times New Roman" w:eastAsia="Times New Roman" w:hAnsi="Times New Roman" w:cs="Times New Roman"/>
          <w:sz w:val="24"/>
          <w:szCs w:val="24"/>
        </w:rPr>
        <w:t>boriginal rights at common law</w:t>
      </w:r>
      <w:r w:rsidRPr="00EC7856">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10"/>
      </w:r>
      <w:r w:rsidRPr="00EC7856">
        <w:rPr>
          <w:rFonts w:ascii="Times New Roman" w:eastAsia="Times New Roman" w:hAnsi="Times New Roman" w:cs="Times New Roman"/>
          <w:sz w:val="24"/>
          <w:szCs w:val="24"/>
        </w:rPr>
        <w:t xml:space="preserve"> </w:t>
      </w:r>
      <w:r w:rsidR="00BD7DB5">
        <w:rPr>
          <w:rFonts w:ascii="Times New Roman" w:eastAsia="Times New Roman" w:hAnsi="Times New Roman" w:cs="Times New Roman"/>
          <w:sz w:val="24"/>
          <w:szCs w:val="24"/>
        </w:rPr>
        <w:t xml:space="preserve">which are </w:t>
      </w:r>
      <w:r w:rsidRPr="00EC7856">
        <w:rPr>
          <w:rFonts w:ascii="Times New Roman" w:hAnsi="Times New Roman" w:cs="Times New Roman"/>
          <w:sz w:val="24"/>
          <w:szCs w:val="24"/>
        </w:rPr>
        <w:t xml:space="preserve">now recognized and affirmed by </w:t>
      </w:r>
      <w:r w:rsidR="002B4063">
        <w:rPr>
          <w:rFonts w:ascii="Times New Roman" w:hAnsi="Times New Roman" w:cs="Times New Roman"/>
          <w:sz w:val="24"/>
          <w:szCs w:val="24"/>
        </w:rPr>
        <w:t>s 35</w:t>
      </w:r>
      <w:r w:rsidRPr="00EC7856">
        <w:rPr>
          <w:rFonts w:ascii="Times New Roman" w:hAnsi="Times New Roman" w:cs="Times New Roman"/>
          <w:i/>
          <w:iCs/>
          <w:sz w:val="24"/>
          <w:szCs w:val="24"/>
        </w:rPr>
        <w:t xml:space="preserve">, </w:t>
      </w:r>
      <w:r w:rsidRPr="00EC7856">
        <w:rPr>
          <w:rFonts w:ascii="Times New Roman" w:hAnsi="Times New Roman" w:cs="Times New Roman"/>
          <w:sz w:val="24"/>
          <w:szCs w:val="24"/>
        </w:rPr>
        <w:t xml:space="preserve">this has not lead to a re-examination of Crown sovereignty or </w:t>
      </w:r>
      <w:r w:rsidR="002B4063">
        <w:rPr>
          <w:rFonts w:ascii="Times New Roman" w:hAnsi="Times New Roman" w:cs="Times New Roman"/>
          <w:sz w:val="24"/>
          <w:szCs w:val="24"/>
        </w:rPr>
        <w:t>s 91</w:t>
      </w:r>
      <w:r w:rsidRPr="00EC7856">
        <w:rPr>
          <w:rFonts w:ascii="Times New Roman" w:hAnsi="Times New Roman" w:cs="Times New Roman"/>
          <w:sz w:val="24"/>
          <w:szCs w:val="24"/>
        </w:rPr>
        <w:t>(24)</w:t>
      </w:r>
      <w:r>
        <w:rPr>
          <w:rFonts w:ascii="Times New Roman" w:hAnsi="Times New Roman" w:cs="Times New Roman"/>
          <w:sz w:val="24"/>
          <w:szCs w:val="24"/>
        </w:rPr>
        <w:t>,</w:t>
      </w:r>
      <w:r w:rsidRPr="00EC7856">
        <w:rPr>
          <w:rFonts w:ascii="Times New Roman" w:hAnsi="Times New Roman" w:cs="Times New Roman"/>
          <w:sz w:val="24"/>
          <w:szCs w:val="24"/>
        </w:rPr>
        <w:t xml:space="preserve"> nor </w:t>
      </w:r>
      <w:r w:rsidR="00BD7DB5">
        <w:rPr>
          <w:rFonts w:ascii="Times New Roman" w:hAnsi="Times New Roman" w:cs="Times New Roman"/>
          <w:sz w:val="24"/>
          <w:szCs w:val="24"/>
        </w:rPr>
        <w:t xml:space="preserve">to </w:t>
      </w:r>
      <w:r w:rsidRPr="00EC7856">
        <w:rPr>
          <w:rFonts w:ascii="Times New Roman" w:hAnsi="Times New Roman" w:cs="Times New Roman"/>
          <w:sz w:val="24"/>
          <w:szCs w:val="24"/>
        </w:rPr>
        <w:t xml:space="preserve">any </w:t>
      </w:r>
      <w:r>
        <w:rPr>
          <w:rFonts w:ascii="Times New Roman" w:hAnsi="Times New Roman" w:cs="Times New Roman"/>
          <w:sz w:val="24"/>
          <w:szCs w:val="24"/>
        </w:rPr>
        <w:t xml:space="preserve">real </w:t>
      </w:r>
      <w:r w:rsidRPr="00EC7856">
        <w:rPr>
          <w:rFonts w:ascii="Times New Roman" w:hAnsi="Times New Roman" w:cs="Times New Roman"/>
          <w:sz w:val="24"/>
          <w:szCs w:val="24"/>
        </w:rPr>
        <w:t xml:space="preserve">coming to terms with the doctrines of discovery and </w:t>
      </w:r>
      <w:r w:rsidRPr="00EC7856">
        <w:rPr>
          <w:rFonts w:ascii="Times New Roman" w:hAnsi="Times New Roman" w:cs="Times New Roman"/>
          <w:i/>
          <w:sz w:val="24"/>
          <w:szCs w:val="24"/>
        </w:rPr>
        <w:t>terra nullius</w:t>
      </w:r>
      <w:r w:rsidRPr="00EC7856">
        <w:rPr>
          <w:rFonts w:ascii="Times New Roman" w:hAnsi="Times New Roman" w:cs="Times New Roman"/>
          <w:sz w:val="24"/>
          <w:szCs w:val="24"/>
        </w:rPr>
        <w:t xml:space="preserve">.  </w:t>
      </w:r>
      <w:r>
        <w:rPr>
          <w:rFonts w:ascii="Times New Roman" w:hAnsi="Times New Roman" w:cs="Times New Roman"/>
          <w:sz w:val="24"/>
          <w:szCs w:val="24"/>
        </w:rPr>
        <w:t>On</w:t>
      </w:r>
      <w:r w:rsidRPr="00EC7856">
        <w:rPr>
          <w:rFonts w:ascii="Times New Roman" w:hAnsi="Times New Roman" w:cs="Times New Roman"/>
          <w:sz w:val="24"/>
          <w:szCs w:val="24"/>
        </w:rPr>
        <w:t xml:space="preserve"> the contrary, in its first case on </w:t>
      </w:r>
      <w:r w:rsidR="002B4063">
        <w:rPr>
          <w:rFonts w:ascii="Times New Roman" w:hAnsi="Times New Roman" w:cs="Times New Roman"/>
          <w:sz w:val="24"/>
          <w:szCs w:val="24"/>
        </w:rPr>
        <w:t>s 35</w:t>
      </w:r>
      <w:r w:rsidRPr="00EC7856">
        <w:rPr>
          <w:rFonts w:ascii="Times New Roman" w:hAnsi="Times New Roman" w:cs="Times New Roman"/>
          <w:sz w:val="24"/>
          <w:szCs w:val="24"/>
        </w:rPr>
        <w:t xml:space="preserve">, </w:t>
      </w:r>
      <w:bookmarkStart w:id="8" w:name="_Hlk35352750"/>
      <w:r>
        <w:rPr>
          <w:rFonts w:ascii="Times New Roman" w:hAnsi="Times New Roman" w:cs="Times New Roman"/>
          <w:i/>
          <w:iCs/>
          <w:sz w:val="24"/>
          <w:szCs w:val="24"/>
        </w:rPr>
        <w:t>R v Sparrow</w:t>
      </w:r>
      <w:bookmarkEnd w:id="8"/>
      <w:r>
        <w:rPr>
          <w:rFonts w:ascii="Times New Roman" w:hAnsi="Times New Roman" w:cs="Times New Roman"/>
          <w:i/>
          <w:iCs/>
          <w:sz w:val="24"/>
          <w:szCs w:val="24"/>
        </w:rPr>
        <w:t>,</w:t>
      </w:r>
      <w:r w:rsidRPr="00EC7856">
        <w:rPr>
          <w:rFonts w:ascii="Times New Roman" w:hAnsi="Times New Roman" w:cs="Times New Roman"/>
          <w:i/>
          <w:iCs/>
          <w:sz w:val="24"/>
          <w:szCs w:val="24"/>
        </w:rPr>
        <w:t xml:space="preserve"> </w:t>
      </w:r>
      <w:r w:rsidRPr="00EC7856">
        <w:rPr>
          <w:rFonts w:ascii="Times New Roman" w:hAnsi="Times New Roman" w:cs="Times New Roman"/>
          <w:sz w:val="24"/>
          <w:szCs w:val="24"/>
        </w:rPr>
        <w:t>the SCC emphasized that “there was from the outset never any doubt that sovereignty and legislative power, and indeed the underlying title, to such lands vested in the Crown</w:t>
      </w:r>
      <w:r>
        <w:rPr>
          <w:rFonts w:ascii="Times New Roman" w:hAnsi="Times New Roman" w:cs="Times New Roman"/>
          <w:sz w:val="24"/>
          <w:szCs w:val="24"/>
        </w:rPr>
        <w:t>.</w:t>
      </w:r>
      <w:r w:rsidRPr="00EC7856">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As observed by </w:t>
      </w:r>
      <w:r w:rsidRPr="00EC7856">
        <w:rPr>
          <w:rFonts w:ascii="Times New Roman" w:hAnsi="Times New Roman" w:cs="Times New Roman"/>
          <w:sz w:val="24"/>
          <w:szCs w:val="24"/>
        </w:rPr>
        <w:t>Kent McNeil</w:t>
      </w:r>
      <w:r>
        <w:rPr>
          <w:rFonts w:ascii="Times New Roman" w:hAnsi="Times New Roman" w:cs="Times New Roman"/>
          <w:sz w:val="24"/>
          <w:szCs w:val="24"/>
        </w:rPr>
        <w:t xml:space="preserve"> in relation to </w:t>
      </w:r>
      <w:r>
        <w:rPr>
          <w:rFonts w:ascii="Times New Roman" w:hAnsi="Times New Roman" w:cs="Times New Roman"/>
          <w:i/>
          <w:sz w:val="24"/>
          <w:szCs w:val="24"/>
        </w:rPr>
        <w:t>Sparrow</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CA"/>
        </w:rPr>
        <w:t xml:space="preserve">“[t]he colonial vision of the Canadian </w:t>
      </w:r>
      <w:r>
        <w:rPr>
          <w:rFonts w:ascii="Times New Roman" w:eastAsia="Times New Roman" w:hAnsi="Times New Roman" w:cs="Times New Roman"/>
          <w:i/>
          <w:sz w:val="24"/>
          <w:szCs w:val="24"/>
          <w:lang w:eastAsia="en-CA"/>
        </w:rPr>
        <w:t>Constitution</w:t>
      </w:r>
      <w:r>
        <w:rPr>
          <w:rFonts w:ascii="Times New Roman" w:eastAsia="Times New Roman" w:hAnsi="Times New Roman" w:cs="Times New Roman"/>
          <w:sz w:val="24"/>
          <w:szCs w:val="24"/>
          <w:lang w:eastAsia="en-CA"/>
        </w:rPr>
        <w:t>, based on parliamentary sovereignty and exhaustive distribution of powers between the federal and provincial governments, was still influencing the judges.”</w:t>
      </w:r>
      <w:r>
        <w:rPr>
          <w:rStyle w:val="FootnoteReference"/>
          <w:rFonts w:ascii="Times New Roman" w:eastAsia="Times New Roman" w:hAnsi="Times New Roman" w:cs="Times New Roman"/>
          <w:sz w:val="24"/>
          <w:szCs w:val="24"/>
          <w:lang w:eastAsia="en-CA"/>
        </w:rPr>
        <w:footnoteReference w:id="12"/>
      </w:r>
      <w:r>
        <w:rPr>
          <w:rFonts w:ascii="Times New Roman" w:hAnsi="Times New Roman" w:cs="Times New Roman"/>
          <w:sz w:val="24"/>
          <w:szCs w:val="24"/>
        </w:rPr>
        <w:t xml:space="preserve">  </w:t>
      </w:r>
      <w:r w:rsidRPr="00AD408E">
        <w:rPr>
          <w:rFonts w:ascii="Times New Roman" w:hAnsi="Times New Roman" w:cs="Times New Roman"/>
          <w:sz w:val="24"/>
          <w:szCs w:val="24"/>
        </w:rPr>
        <w:t>The SCC has</w:t>
      </w:r>
      <w:r w:rsidR="00975C80" w:rsidRPr="00AD408E">
        <w:rPr>
          <w:rFonts w:ascii="Times New Roman" w:hAnsi="Times New Roman" w:cs="Times New Roman"/>
          <w:sz w:val="24"/>
          <w:szCs w:val="24"/>
        </w:rPr>
        <w:t xml:space="preserve"> thus far evaded robust recognition of the right to </w:t>
      </w:r>
      <w:r w:rsidRPr="00AD408E">
        <w:rPr>
          <w:rFonts w:ascii="Times New Roman" w:hAnsi="Times New Roman" w:cs="Times New Roman"/>
          <w:sz w:val="24"/>
          <w:szCs w:val="24"/>
        </w:rPr>
        <w:t>self-government.</w:t>
      </w:r>
      <w:r w:rsidRPr="00AD408E">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In this regard, the Truth and Reconciliation Commission (TRC) </w:t>
      </w:r>
      <w:r>
        <w:rPr>
          <w:rFonts w:ascii="Times New Roman" w:hAnsi="Times New Roman" w:cs="Times New Roman"/>
          <w:sz w:val="24"/>
          <w:szCs w:val="24"/>
        </w:rPr>
        <w:lastRenderedPageBreak/>
        <w:t xml:space="preserve">has stated that </w:t>
      </w:r>
      <w:r w:rsidR="002B4063">
        <w:rPr>
          <w:rFonts w:ascii="Times New Roman" w:hAnsi="Times New Roman" w:cs="Times New Roman"/>
          <w:sz w:val="24"/>
          <w:szCs w:val="24"/>
        </w:rPr>
        <w:t>s 35</w:t>
      </w:r>
      <w:r>
        <w:rPr>
          <w:rFonts w:ascii="Times New Roman" w:hAnsi="Times New Roman" w:cs="Times New Roman"/>
          <w:sz w:val="24"/>
          <w:szCs w:val="24"/>
        </w:rPr>
        <w:t xml:space="preserve"> jurisprudence </w:t>
      </w:r>
      <w:r w:rsidRPr="00157B95">
        <w:rPr>
          <w:rFonts w:ascii="Times New Roman" w:hAnsi="Times New Roman" w:cs="Times New Roman"/>
          <w:sz w:val="24"/>
          <w:szCs w:val="24"/>
        </w:rPr>
        <w:t>continues “to subjugate Aboriginal peoples to an absolute sovereign Crown</w:t>
      </w:r>
      <w:r>
        <w:rPr>
          <w:rFonts w:ascii="Times New Roman" w:hAnsi="Times New Roman" w:cs="Times New Roman"/>
          <w:sz w:val="24"/>
          <w:szCs w:val="24"/>
        </w:rPr>
        <w:t>.</w:t>
      </w:r>
      <w:r w:rsidRPr="00157B95">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14:paraId="7A85E44E" w14:textId="4E433821" w:rsidR="00B47858" w:rsidRDefault="00B47858" w:rsidP="00684B3E">
      <w:pPr>
        <w:jc w:val="both"/>
        <w:rPr>
          <w:rFonts w:ascii="Times New Roman" w:hAnsi="Times New Roman" w:cs="Times New Roman"/>
          <w:sz w:val="24"/>
          <w:szCs w:val="24"/>
        </w:rPr>
      </w:pPr>
    </w:p>
    <w:p w14:paraId="03CD281A" w14:textId="67BC605E" w:rsidR="00B47858" w:rsidRPr="00307F5D" w:rsidRDefault="00B47858" w:rsidP="00307F5D">
      <w:pPr>
        <w:pStyle w:val="Heading3"/>
        <w:numPr>
          <w:ilvl w:val="0"/>
          <w:numId w:val="12"/>
        </w:numPr>
        <w:spacing w:after="200"/>
        <w:ind w:left="1134" w:hanging="425"/>
        <w:contextualSpacing w:val="0"/>
        <w:rPr>
          <w:b w:val="0"/>
          <w:bCs/>
          <w:i w:val="0"/>
          <w:iCs/>
        </w:rPr>
      </w:pPr>
      <w:r w:rsidRPr="00307F5D">
        <w:rPr>
          <w:b w:val="0"/>
          <w:bCs/>
          <w:i w:val="0"/>
          <w:iCs/>
        </w:rPr>
        <w:t xml:space="preserve">Ample </w:t>
      </w:r>
      <w:r w:rsidR="005C6452">
        <w:rPr>
          <w:b w:val="0"/>
          <w:bCs/>
          <w:i w:val="0"/>
          <w:iCs/>
        </w:rPr>
        <w:t>S</w:t>
      </w:r>
      <w:r w:rsidR="005C6452" w:rsidRPr="00307F5D">
        <w:rPr>
          <w:b w:val="0"/>
          <w:bCs/>
          <w:i w:val="0"/>
          <w:iCs/>
        </w:rPr>
        <w:t xml:space="preserve">pace </w:t>
      </w:r>
      <w:r w:rsidRPr="00307F5D">
        <w:rPr>
          <w:b w:val="0"/>
          <w:bCs/>
          <w:i w:val="0"/>
          <w:iCs/>
        </w:rPr>
        <w:t xml:space="preserve">for </w:t>
      </w:r>
      <w:r w:rsidR="005C6452">
        <w:rPr>
          <w:b w:val="0"/>
          <w:bCs/>
          <w:i w:val="0"/>
          <w:iCs/>
        </w:rPr>
        <w:t>P</w:t>
      </w:r>
      <w:r w:rsidR="005C6452" w:rsidRPr="00307F5D">
        <w:rPr>
          <w:b w:val="0"/>
          <w:bCs/>
          <w:i w:val="0"/>
          <w:iCs/>
        </w:rPr>
        <w:t xml:space="preserve">rovincial </w:t>
      </w:r>
      <w:r w:rsidR="005C6452">
        <w:rPr>
          <w:b w:val="0"/>
          <w:bCs/>
          <w:i w:val="0"/>
          <w:iCs/>
        </w:rPr>
        <w:t>J</w:t>
      </w:r>
      <w:r w:rsidR="005C6452" w:rsidRPr="00307F5D">
        <w:rPr>
          <w:b w:val="0"/>
          <w:bCs/>
          <w:i w:val="0"/>
          <w:iCs/>
        </w:rPr>
        <w:t>urisdiction</w:t>
      </w:r>
    </w:p>
    <w:p w14:paraId="0AD62028" w14:textId="257DDD44"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0E61FD">
        <w:rPr>
          <w:rFonts w:ascii="Times New Roman" w:hAnsi="Times New Roman" w:cs="Times New Roman"/>
          <w:sz w:val="24"/>
          <w:szCs w:val="24"/>
        </w:rPr>
        <w:t xml:space="preserve">Not only have the courts ignored the possibility of Indigenous jurisdiction in their interpretation of </w:t>
      </w:r>
      <w:r w:rsidR="002B4063">
        <w:rPr>
          <w:rFonts w:ascii="Times New Roman" w:hAnsi="Times New Roman" w:cs="Times New Roman"/>
          <w:sz w:val="24"/>
          <w:szCs w:val="24"/>
        </w:rPr>
        <w:t>s 91</w:t>
      </w:r>
      <w:r w:rsidRPr="000E61FD">
        <w:rPr>
          <w:rFonts w:ascii="Times New Roman" w:hAnsi="Times New Roman" w:cs="Times New Roman"/>
          <w:sz w:val="24"/>
          <w:szCs w:val="24"/>
        </w:rPr>
        <w:t>(24), but they have consistently eroded the exclusi</w:t>
      </w:r>
      <w:r>
        <w:rPr>
          <w:rFonts w:ascii="Times New Roman" w:hAnsi="Times New Roman" w:cs="Times New Roman"/>
          <w:sz w:val="24"/>
          <w:szCs w:val="24"/>
        </w:rPr>
        <w:t>ve federal jurisdictional power</w:t>
      </w:r>
      <w:r w:rsidRPr="000E61FD">
        <w:rPr>
          <w:rFonts w:ascii="Times New Roman" w:hAnsi="Times New Roman" w:cs="Times New Roman"/>
          <w:sz w:val="24"/>
          <w:szCs w:val="24"/>
        </w:rPr>
        <w:t xml:space="preserve"> over Indigenous peoples by according significant powers to provincial governments in this area.  This is con</w:t>
      </w:r>
      <w:r>
        <w:rPr>
          <w:rFonts w:ascii="Times New Roman" w:hAnsi="Times New Roman" w:cs="Times New Roman"/>
          <w:sz w:val="24"/>
          <w:szCs w:val="24"/>
        </w:rPr>
        <w:t>trary to what many regard</w:t>
      </w:r>
      <w:r w:rsidRPr="000E61FD">
        <w:rPr>
          <w:rFonts w:ascii="Times New Roman" w:hAnsi="Times New Roman" w:cs="Times New Roman"/>
          <w:sz w:val="24"/>
          <w:szCs w:val="24"/>
        </w:rPr>
        <w:t xml:space="preserve"> as the main purpose of </w:t>
      </w:r>
      <w:r w:rsidR="002B4063">
        <w:rPr>
          <w:rFonts w:ascii="Times New Roman" w:hAnsi="Times New Roman" w:cs="Times New Roman"/>
          <w:sz w:val="24"/>
          <w:szCs w:val="24"/>
        </w:rPr>
        <w:t>s 91</w:t>
      </w:r>
      <w:r w:rsidRPr="000E61FD">
        <w:rPr>
          <w:rFonts w:ascii="Times New Roman" w:hAnsi="Times New Roman" w:cs="Times New Roman"/>
          <w:sz w:val="24"/>
          <w:szCs w:val="24"/>
        </w:rPr>
        <w:t xml:space="preserve">(24): to protect Indigenous peoples’ lands and interests from encroachment by local settlers, whose interest in acquiring lands and </w:t>
      </w:r>
      <w:r>
        <w:rPr>
          <w:rFonts w:ascii="Times New Roman" w:hAnsi="Times New Roman" w:cs="Times New Roman"/>
          <w:sz w:val="24"/>
          <w:szCs w:val="24"/>
        </w:rPr>
        <w:t>jurisdiction</w:t>
      </w:r>
      <w:r w:rsidRPr="000E61FD">
        <w:rPr>
          <w:rFonts w:ascii="Times New Roman" w:hAnsi="Times New Roman" w:cs="Times New Roman"/>
          <w:sz w:val="24"/>
          <w:szCs w:val="24"/>
        </w:rPr>
        <w:t xml:space="preserve"> for purposes of settlement was in direct conflict with preserving the lands and interests of the Indigenous peoples.</w:t>
      </w:r>
      <w:r>
        <w:rPr>
          <w:rStyle w:val="FootnoteReference"/>
          <w:rFonts w:ascii="Times New Roman" w:hAnsi="Times New Roman" w:cs="Times New Roman"/>
          <w:sz w:val="24"/>
          <w:szCs w:val="24"/>
        </w:rPr>
        <w:footnoteReference w:id="15"/>
      </w:r>
      <w:r w:rsidRPr="000E61F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5F1C25" w14:textId="77777777" w:rsidR="00B47858" w:rsidRDefault="00B47858" w:rsidP="00684B3E">
      <w:pPr>
        <w:pStyle w:val="ListParagraph"/>
        <w:ind w:left="0"/>
        <w:jc w:val="both"/>
        <w:rPr>
          <w:rFonts w:ascii="Times New Roman" w:hAnsi="Times New Roman" w:cs="Times New Roman"/>
          <w:sz w:val="24"/>
          <w:szCs w:val="24"/>
        </w:rPr>
      </w:pPr>
    </w:p>
    <w:p w14:paraId="19DAD8E9" w14:textId="497471C0" w:rsidR="00B47858" w:rsidRPr="000E61FD" w:rsidRDefault="00B47858" w:rsidP="00684B3E">
      <w:pPr>
        <w:pStyle w:val="ListParagraph"/>
        <w:numPr>
          <w:ilvl w:val="0"/>
          <w:numId w:val="1"/>
        </w:numPr>
        <w:ind w:left="0" w:firstLine="0"/>
        <w:jc w:val="both"/>
        <w:rPr>
          <w:rFonts w:ascii="Times New Roman" w:hAnsi="Times New Roman" w:cs="Times New Roman"/>
          <w:sz w:val="24"/>
          <w:szCs w:val="24"/>
        </w:rPr>
      </w:pPr>
      <w:r w:rsidRPr="000E61FD">
        <w:rPr>
          <w:rFonts w:ascii="Times New Roman" w:hAnsi="Times New Roman" w:cs="Times New Roman"/>
          <w:sz w:val="24"/>
          <w:szCs w:val="24"/>
        </w:rPr>
        <w:t>This objective of protecting Indigenous people</w:t>
      </w:r>
      <w:r>
        <w:rPr>
          <w:rFonts w:ascii="Times New Roman" w:hAnsi="Times New Roman" w:cs="Times New Roman"/>
          <w:sz w:val="24"/>
          <w:szCs w:val="24"/>
        </w:rPr>
        <w:t>s from colonial encroachment has</w:t>
      </w:r>
      <w:r w:rsidRPr="000E61FD">
        <w:rPr>
          <w:rFonts w:ascii="Times New Roman" w:hAnsi="Times New Roman" w:cs="Times New Roman"/>
          <w:sz w:val="24"/>
          <w:szCs w:val="24"/>
        </w:rPr>
        <w:t xml:space="preserve"> its roots in the legal framework established through the nation-to-nation, treaty relationships that had </w:t>
      </w:r>
      <w:r>
        <w:rPr>
          <w:rFonts w:ascii="Times New Roman" w:hAnsi="Times New Roman" w:cs="Times New Roman"/>
          <w:sz w:val="24"/>
          <w:szCs w:val="24"/>
        </w:rPr>
        <w:t>u</w:t>
      </w:r>
      <w:r w:rsidRPr="000E61FD">
        <w:rPr>
          <w:rFonts w:ascii="Times New Roman" w:hAnsi="Times New Roman" w:cs="Times New Roman"/>
          <w:sz w:val="24"/>
          <w:szCs w:val="24"/>
        </w:rPr>
        <w:t>nfolded during the 200 years leading to confederat</w:t>
      </w:r>
      <w:r>
        <w:rPr>
          <w:rFonts w:ascii="Times New Roman" w:hAnsi="Times New Roman" w:cs="Times New Roman"/>
          <w:sz w:val="24"/>
          <w:szCs w:val="24"/>
        </w:rPr>
        <w:t>ion</w:t>
      </w:r>
      <w:r w:rsidRPr="000E61FD">
        <w:rPr>
          <w:rFonts w:ascii="Times New Roman" w:eastAsia="Times New Roman" w:hAnsi="Times New Roman" w:cs="Times New Roman"/>
          <w:color w:val="000000"/>
          <w:sz w:val="24"/>
          <w:szCs w:val="24"/>
          <w:lang w:eastAsia="en-CA"/>
        </w:rPr>
        <w:t>.</w:t>
      </w:r>
      <w:r>
        <w:rPr>
          <w:rStyle w:val="FootnoteReference"/>
          <w:rFonts w:ascii="Times New Roman" w:eastAsia="Times New Roman" w:hAnsi="Times New Roman" w:cs="Times New Roman"/>
          <w:color w:val="000000"/>
          <w:sz w:val="24"/>
          <w:szCs w:val="24"/>
          <w:lang w:eastAsia="en-CA"/>
        </w:rPr>
        <w:footnoteReference w:id="16"/>
      </w:r>
      <w:r w:rsidRPr="000E61FD">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Referred to </w:t>
      </w:r>
      <w:r w:rsidRPr="000E61FD">
        <w:rPr>
          <w:rFonts w:ascii="Times New Roman" w:eastAsia="Times New Roman" w:hAnsi="Times New Roman" w:cs="Times New Roman"/>
          <w:color w:val="000000"/>
          <w:sz w:val="24"/>
          <w:szCs w:val="24"/>
          <w:lang w:eastAsia="en-CA"/>
        </w:rPr>
        <w:t>as ‘treaty federalism’</w:t>
      </w:r>
      <w:r w:rsidR="009A4F6F">
        <w:rPr>
          <w:rFonts w:ascii="Times New Roman" w:eastAsia="Times New Roman" w:hAnsi="Times New Roman" w:cs="Times New Roman"/>
          <w:color w:val="000000"/>
          <w:sz w:val="24"/>
          <w:szCs w:val="24"/>
          <w:lang w:eastAsia="en-CA"/>
        </w:rPr>
        <w:t>,</w:t>
      </w:r>
      <w:r w:rsidRPr="000E61FD">
        <w:rPr>
          <w:rFonts w:ascii="Times New Roman" w:eastAsia="Times New Roman" w:hAnsi="Times New Roman" w:cs="Times New Roman"/>
          <w:color w:val="000000"/>
          <w:sz w:val="24"/>
          <w:szCs w:val="24"/>
          <w:lang w:eastAsia="en-CA"/>
        </w:rPr>
        <w:t xml:space="preserve"> this framework positions </w:t>
      </w:r>
      <w:r w:rsidR="002B4063">
        <w:rPr>
          <w:rFonts w:ascii="Times New Roman" w:eastAsia="Times New Roman" w:hAnsi="Times New Roman" w:cs="Times New Roman"/>
          <w:color w:val="000000"/>
          <w:sz w:val="24"/>
          <w:szCs w:val="24"/>
          <w:lang w:eastAsia="en-CA"/>
        </w:rPr>
        <w:t>s 91</w:t>
      </w:r>
      <w:r w:rsidRPr="000E61FD">
        <w:rPr>
          <w:rFonts w:ascii="Times New Roman" w:eastAsia="Times New Roman" w:hAnsi="Times New Roman" w:cs="Times New Roman"/>
          <w:color w:val="000000"/>
          <w:sz w:val="24"/>
          <w:szCs w:val="24"/>
          <w:lang w:eastAsia="en-CA"/>
        </w:rPr>
        <w:t>(24) as empowering the federal government to protect Indigenous interests without granting it plenary power to control all aspects of Indigenous people</w:t>
      </w:r>
      <w:r>
        <w:rPr>
          <w:rFonts w:ascii="Times New Roman" w:eastAsia="Times New Roman" w:hAnsi="Times New Roman" w:cs="Times New Roman"/>
          <w:color w:val="000000"/>
          <w:sz w:val="24"/>
          <w:szCs w:val="24"/>
          <w:lang w:eastAsia="en-CA"/>
        </w:rPr>
        <w:t>s’ lives.  Rather, the provision</w:t>
      </w:r>
      <w:r w:rsidRPr="000E61FD">
        <w:rPr>
          <w:rFonts w:ascii="Times New Roman" w:eastAsia="Times New Roman" w:hAnsi="Times New Roman" w:cs="Times New Roman"/>
          <w:color w:val="000000"/>
          <w:sz w:val="24"/>
          <w:szCs w:val="24"/>
          <w:lang w:eastAsia="en-CA"/>
        </w:rPr>
        <w:t xml:space="preserve"> empowers the federal </w:t>
      </w:r>
      <w:r>
        <w:rPr>
          <w:rFonts w:ascii="Times New Roman" w:eastAsia="Times New Roman" w:hAnsi="Times New Roman" w:cs="Times New Roman"/>
          <w:color w:val="000000"/>
          <w:sz w:val="24"/>
          <w:szCs w:val="24"/>
          <w:lang w:eastAsia="en-CA"/>
        </w:rPr>
        <w:t xml:space="preserve">government </w:t>
      </w:r>
      <w:r w:rsidRPr="000E61FD">
        <w:rPr>
          <w:rFonts w:ascii="Times New Roman" w:eastAsia="Times New Roman" w:hAnsi="Times New Roman" w:cs="Times New Roman"/>
          <w:color w:val="000000"/>
          <w:sz w:val="24"/>
          <w:szCs w:val="24"/>
          <w:lang w:eastAsia="en-CA"/>
        </w:rPr>
        <w:t>to enter treaties with Indigenous peoples to achieve consensual arrangements for harmonious co-existence</w:t>
      </w:r>
      <w:r>
        <w:rPr>
          <w:rFonts w:ascii="Times New Roman" w:eastAsia="Times New Roman" w:hAnsi="Times New Roman" w:cs="Times New Roman"/>
          <w:color w:val="000000"/>
          <w:sz w:val="24"/>
          <w:szCs w:val="24"/>
          <w:lang w:eastAsia="en-CA"/>
        </w:rPr>
        <w:t xml:space="preserve"> and shared responsibilities</w:t>
      </w:r>
      <w:r w:rsidRPr="000E61FD">
        <w:rPr>
          <w:rFonts w:ascii="Times New Roman" w:eastAsia="Times New Roman" w:hAnsi="Times New Roman" w:cs="Times New Roman"/>
          <w:color w:val="000000"/>
          <w:sz w:val="24"/>
          <w:szCs w:val="24"/>
          <w:lang w:eastAsia="en-CA"/>
        </w:rPr>
        <w:t>, recognizing that Indigenous peoples have the right to self-determination, including self-government and the right to consent to decisions that affect them.</w:t>
      </w:r>
      <w:r>
        <w:rPr>
          <w:rStyle w:val="FootnoteReference"/>
          <w:rFonts w:ascii="Times New Roman" w:eastAsia="Times New Roman" w:hAnsi="Times New Roman" w:cs="Times New Roman"/>
          <w:color w:val="000000"/>
          <w:sz w:val="24"/>
          <w:szCs w:val="24"/>
          <w:lang w:eastAsia="en-CA"/>
        </w:rPr>
        <w:footnoteReference w:id="17"/>
      </w:r>
      <w:r w:rsidRPr="000E61FD">
        <w:rPr>
          <w:rFonts w:ascii="Times New Roman" w:eastAsia="Times New Roman" w:hAnsi="Times New Roman" w:cs="Times New Roman"/>
          <w:color w:val="000000"/>
          <w:sz w:val="24"/>
          <w:szCs w:val="24"/>
          <w:lang w:eastAsia="en-CA"/>
        </w:rPr>
        <w:t xml:space="preserve">  </w:t>
      </w:r>
    </w:p>
    <w:p w14:paraId="627B2546" w14:textId="77777777" w:rsidR="00B47858" w:rsidRPr="000E61FD" w:rsidRDefault="00B47858" w:rsidP="00684B3E">
      <w:pPr>
        <w:pStyle w:val="ListParagraph"/>
        <w:ind w:left="0"/>
        <w:jc w:val="both"/>
        <w:rPr>
          <w:rFonts w:ascii="Times New Roman" w:hAnsi="Times New Roman" w:cs="Times New Roman"/>
          <w:sz w:val="24"/>
          <w:szCs w:val="24"/>
        </w:rPr>
      </w:pPr>
    </w:p>
    <w:p w14:paraId="27125D1F" w14:textId="618D617F" w:rsidR="00B47858" w:rsidRDefault="00B47858"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Unfortunately, treaty federalism has yet to be embraced by Canadian courts.  Instead, t</w:t>
      </w:r>
      <w:r w:rsidRPr="000E61FD">
        <w:rPr>
          <w:rFonts w:ascii="Times New Roman" w:hAnsi="Times New Roman" w:cs="Times New Roman"/>
          <w:sz w:val="24"/>
          <w:szCs w:val="24"/>
        </w:rPr>
        <w:t>he courts’ preoccupation with pr</w:t>
      </w:r>
      <w:r>
        <w:rPr>
          <w:rFonts w:ascii="Times New Roman" w:hAnsi="Times New Roman" w:cs="Times New Roman"/>
          <w:sz w:val="24"/>
          <w:szCs w:val="24"/>
        </w:rPr>
        <w:t>ioritizing</w:t>
      </w:r>
      <w:r w:rsidRPr="000E61FD">
        <w:rPr>
          <w:rFonts w:ascii="Times New Roman" w:hAnsi="Times New Roman" w:cs="Times New Roman"/>
          <w:sz w:val="24"/>
          <w:szCs w:val="24"/>
        </w:rPr>
        <w:t xml:space="preserve"> provincial </w:t>
      </w:r>
      <w:r>
        <w:rPr>
          <w:rFonts w:ascii="Times New Roman" w:hAnsi="Times New Roman" w:cs="Times New Roman"/>
          <w:sz w:val="24"/>
          <w:szCs w:val="24"/>
        </w:rPr>
        <w:t>interests</w:t>
      </w:r>
      <w:r w:rsidRPr="000E61FD">
        <w:rPr>
          <w:rFonts w:ascii="Times New Roman" w:hAnsi="Times New Roman" w:cs="Times New Roman"/>
          <w:sz w:val="24"/>
          <w:szCs w:val="24"/>
        </w:rPr>
        <w:t xml:space="preserve"> can be seen as early as the first two </w:t>
      </w:r>
      <w:r w:rsidR="002B4063">
        <w:rPr>
          <w:rFonts w:ascii="Times New Roman" w:hAnsi="Times New Roman" w:cs="Times New Roman"/>
          <w:sz w:val="24"/>
          <w:szCs w:val="24"/>
        </w:rPr>
        <w:t>s 91</w:t>
      </w:r>
      <w:r w:rsidRPr="000E61FD">
        <w:rPr>
          <w:rFonts w:ascii="Times New Roman" w:hAnsi="Times New Roman" w:cs="Times New Roman"/>
          <w:sz w:val="24"/>
          <w:szCs w:val="24"/>
        </w:rPr>
        <w:t xml:space="preserve">(24) cases of </w:t>
      </w:r>
      <w:r w:rsidRPr="000E61FD">
        <w:rPr>
          <w:rFonts w:ascii="Times New Roman" w:hAnsi="Times New Roman" w:cs="Times New Roman"/>
          <w:i/>
          <w:sz w:val="24"/>
          <w:szCs w:val="24"/>
        </w:rPr>
        <w:t>St. Catherine’s Milling</w:t>
      </w:r>
      <w:r w:rsidR="00B323B3" w:rsidRPr="0081137C">
        <w:rPr>
          <w:rStyle w:val="FootnoteReference"/>
          <w:rFonts w:ascii="Times New Roman" w:hAnsi="Times New Roman" w:cs="Times New Roman"/>
          <w:iCs/>
          <w:sz w:val="24"/>
          <w:szCs w:val="24"/>
        </w:rPr>
        <w:footnoteReference w:id="18"/>
      </w:r>
      <w:r w:rsidRPr="000E61FD">
        <w:rPr>
          <w:rFonts w:ascii="Times New Roman" w:hAnsi="Times New Roman" w:cs="Times New Roman"/>
          <w:i/>
          <w:sz w:val="24"/>
          <w:szCs w:val="24"/>
        </w:rPr>
        <w:t xml:space="preserve"> </w:t>
      </w:r>
      <w:r w:rsidRPr="000E61FD">
        <w:rPr>
          <w:rFonts w:ascii="Times New Roman" w:hAnsi="Times New Roman" w:cs="Times New Roman"/>
          <w:sz w:val="24"/>
          <w:szCs w:val="24"/>
        </w:rPr>
        <w:t xml:space="preserve">and </w:t>
      </w:r>
      <w:r w:rsidRPr="000E61FD">
        <w:rPr>
          <w:rFonts w:ascii="Times New Roman" w:hAnsi="Times New Roman" w:cs="Times New Roman"/>
          <w:i/>
          <w:sz w:val="24"/>
          <w:szCs w:val="24"/>
        </w:rPr>
        <w:t>Ontario Mining Co. v Seybold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sidRPr="000E61FD">
        <w:rPr>
          <w:rFonts w:ascii="Times New Roman" w:hAnsi="Times New Roman" w:cs="Times New Roman"/>
          <w:sz w:val="24"/>
          <w:szCs w:val="24"/>
        </w:rPr>
        <w:t xml:space="preserve">  In these cases, the Privy Council interpreted sections 91(24) and 109 of the </w:t>
      </w:r>
      <w:r w:rsidRPr="000E61FD">
        <w:rPr>
          <w:rFonts w:ascii="Times New Roman" w:hAnsi="Times New Roman" w:cs="Times New Roman"/>
          <w:i/>
          <w:sz w:val="24"/>
          <w:szCs w:val="24"/>
        </w:rPr>
        <w:t>Constitution Act, 1867</w:t>
      </w:r>
      <w:r w:rsidRPr="000E61FD">
        <w:rPr>
          <w:rFonts w:ascii="Times New Roman" w:hAnsi="Times New Roman" w:cs="Times New Roman"/>
          <w:sz w:val="24"/>
          <w:szCs w:val="24"/>
        </w:rPr>
        <w:t xml:space="preserve"> </w:t>
      </w:r>
      <w:r>
        <w:rPr>
          <w:rFonts w:ascii="Times New Roman" w:hAnsi="Times New Roman" w:cs="Times New Roman"/>
          <w:sz w:val="24"/>
          <w:szCs w:val="24"/>
        </w:rPr>
        <w:t>as preventing</w:t>
      </w:r>
      <w:r w:rsidRPr="000E61FD">
        <w:rPr>
          <w:rFonts w:ascii="Times New Roman" w:hAnsi="Times New Roman" w:cs="Times New Roman"/>
          <w:sz w:val="24"/>
          <w:szCs w:val="24"/>
        </w:rPr>
        <w:t xml:space="preserve"> the federal government from implementing its</w:t>
      </w:r>
      <w:r>
        <w:rPr>
          <w:rFonts w:ascii="Times New Roman" w:hAnsi="Times New Roman" w:cs="Times New Roman"/>
          <w:sz w:val="24"/>
          <w:szCs w:val="24"/>
        </w:rPr>
        <w:t xml:space="preserve"> treaty promises to set aside reserve land</w:t>
      </w:r>
      <w:r w:rsidRPr="000E61FD">
        <w:rPr>
          <w:rFonts w:ascii="Times New Roman" w:hAnsi="Times New Roman" w:cs="Times New Roman"/>
          <w:sz w:val="24"/>
          <w:szCs w:val="24"/>
        </w:rPr>
        <w:t xml:space="preserve">, </w:t>
      </w:r>
      <w:r>
        <w:rPr>
          <w:rFonts w:ascii="Times New Roman" w:hAnsi="Times New Roman" w:cs="Times New Roman"/>
          <w:sz w:val="24"/>
          <w:szCs w:val="24"/>
        </w:rPr>
        <w:t>and instead required</w:t>
      </w:r>
      <w:r w:rsidRPr="000E61FD">
        <w:rPr>
          <w:rFonts w:ascii="Times New Roman" w:hAnsi="Times New Roman" w:cs="Times New Roman"/>
          <w:sz w:val="24"/>
          <w:szCs w:val="24"/>
        </w:rPr>
        <w:t xml:space="preserve"> provincial involvement in the process.  At the same time, however, the Privy Council held that provinces had no strict legal duty to cooperate with the federal government in the implementation of treaty promises.  Based on these decisions, courts </w:t>
      </w:r>
      <w:r>
        <w:rPr>
          <w:rFonts w:ascii="Times New Roman" w:hAnsi="Times New Roman" w:cs="Times New Roman"/>
          <w:sz w:val="24"/>
          <w:szCs w:val="24"/>
        </w:rPr>
        <w:t>would</w:t>
      </w:r>
      <w:r w:rsidRPr="000E61FD">
        <w:rPr>
          <w:rFonts w:ascii="Times New Roman" w:hAnsi="Times New Roman" w:cs="Times New Roman"/>
          <w:sz w:val="24"/>
          <w:szCs w:val="24"/>
        </w:rPr>
        <w:t xml:space="preserve"> neither compel Canada </w:t>
      </w:r>
      <w:r w:rsidRPr="000E61FD">
        <w:rPr>
          <w:rFonts w:ascii="Times New Roman" w:hAnsi="Times New Roman" w:cs="Times New Roman"/>
          <w:sz w:val="24"/>
          <w:szCs w:val="24"/>
        </w:rPr>
        <w:lastRenderedPageBreak/>
        <w:t xml:space="preserve">to unilaterally fulfil a treaty promise relating to land nor compel provinces to cooperate with Canada’s attempt </w:t>
      </w:r>
      <w:r>
        <w:rPr>
          <w:rFonts w:ascii="Times New Roman" w:hAnsi="Times New Roman" w:cs="Times New Roman"/>
          <w:sz w:val="24"/>
          <w:szCs w:val="24"/>
        </w:rPr>
        <w:t>to fulfil such treaty promises.</w:t>
      </w:r>
      <w:r>
        <w:rPr>
          <w:rStyle w:val="FootnoteReference"/>
          <w:rFonts w:ascii="Times New Roman" w:hAnsi="Times New Roman" w:cs="Times New Roman"/>
          <w:sz w:val="24"/>
          <w:szCs w:val="24"/>
        </w:rPr>
        <w:footnoteReference w:id="20"/>
      </w:r>
      <w:r w:rsidRPr="000E61FD">
        <w:rPr>
          <w:rFonts w:ascii="Times New Roman" w:hAnsi="Times New Roman" w:cs="Times New Roman"/>
          <w:sz w:val="24"/>
          <w:szCs w:val="24"/>
        </w:rPr>
        <w:t xml:space="preserve"> </w:t>
      </w:r>
    </w:p>
    <w:p w14:paraId="19EEBC63" w14:textId="77777777" w:rsidR="00B47858" w:rsidRDefault="00B47858" w:rsidP="00684B3E">
      <w:pPr>
        <w:pStyle w:val="ListParagraph"/>
        <w:ind w:left="0"/>
        <w:jc w:val="both"/>
        <w:rPr>
          <w:rFonts w:ascii="Times New Roman" w:hAnsi="Times New Roman" w:cs="Times New Roman"/>
          <w:sz w:val="24"/>
          <w:szCs w:val="24"/>
        </w:rPr>
      </w:pPr>
    </w:p>
    <w:p w14:paraId="572AB24D" w14:textId="42D45EDC" w:rsidR="00B47858" w:rsidRPr="008041FE" w:rsidRDefault="00B47858" w:rsidP="00684B3E">
      <w:pPr>
        <w:pStyle w:val="ListParagraph"/>
        <w:numPr>
          <w:ilvl w:val="0"/>
          <w:numId w:val="1"/>
        </w:numPr>
        <w:ind w:left="0" w:firstLine="0"/>
        <w:jc w:val="both"/>
        <w:rPr>
          <w:rFonts w:ascii="Times New Roman" w:hAnsi="Times New Roman" w:cs="Times New Roman"/>
          <w:sz w:val="24"/>
          <w:szCs w:val="24"/>
        </w:rPr>
      </w:pPr>
      <w:r w:rsidRPr="000E61FD">
        <w:rPr>
          <w:rFonts w:ascii="Times New Roman" w:hAnsi="Times New Roman" w:cs="Times New Roman"/>
          <w:sz w:val="24"/>
          <w:szCs w:val="24"/>
        </w:rPr>
        <w:t>Post</w:t>
      </w:r>
      <w:r>
        <w:rPr>
          <w:rFonts w:ascii="Times New Roman" w:hAnsi="Times New Roman" w:cs="Times New Roman"/>
          <w:sz w:val="24"/>
          <w:szCs w:val="24"/>
        </w:rPr>
        <w:t>-</w:t>
      </w:r>
      <w:r w:rsidRPr="000E61FD">
        <w:rPr>
          <w:rFonts w:ascii="Times New Roman" w:hAnsi="Times New Roman" w:cs="Times New Roman"/>
          <w:sz w:val="24"/>
          <w:szCs w:val="24"/>
        </w:rPr>
        <w:t xml:space="preserve">WWII would see the SCC carve out even more constitutional space for provincial jurisdiction in relation to Indigenous peoples.  At this time, the federal government took the bold step of adding a provision to the </w:t>
      </w:r>
      <w:r w:rsidRPr="000E61FD">
        <w:rPr>
          <w:rFonts w:ascii="Times New Roman" w:hAnsi="Times New Roman" w:cs="Times New Roman"/>
          <w:i/>
          <w:sz w:val="24"/>
          <w:szCs w:val="24"/>
        </w:rPr>
        <w:t>Indian Act</w:t>
      </w:r>
      <w:r w:rsidRPr="000E61FD">
        <w:rPr>
          <w:rFonts w:ascii="Times New Roman" w:hAnsi="Times New Roman" w:cs="Times New Roman"/>
          <w:sz w:val="24"/>
          <w:szCs w:val="24"/>
        </w:rPr>
        <w:t xml:space="preserve"> (today </w:t>
      </w:r>
      <w:r w:rsidR="009A4F6F">
        <w:rPr>
          <w:rFonts w:ascii="Times New Roman" w:hAnsi="Times New Roman" w:cs="Times New Roman"/>
          <w:sz w:val="24"/>
          <w:szCs w:val="24"/>
        </w:rPr>
        <w:t>s 88</w:t>
      </w:r>
      <w:r w:rsidRPr="000E61FD">
        <w:rPr>
          <w:rFonts w:ascii="Times New Roman" w:hAnsi="Times New Roman" w:cs="Times New Roman"/>
          <w:sz w:val="24"/>
          <w:szCs w:val="24"/>
        </w:rPr>
        <w:t xml:space="preserve"> of the </w:t>
      </w:r>
      <w:r w:rsidRPr="000E61FD">
        <w:rPr>
          <w:rFonts w:ascii="Times New Roman" w:hAnsi="Times New Roman" w:cs="Times New Roman"/>
          <w:i/>
          <w:sz w:val="24"/>
          <w:szCs w:val="24"/>
        </w:rPr>
        <w:t xml:space="preserve">Indian Act, </w:t>
      </w:r>
      <w:r w:rsidRPr="000E61FD">
        <w:rPr>
          <w:rFonts w:ascii="Times New Roman" w:hAnsi="Times New Roman" w:cs="Times New Roman"/>
          <w:sz w:val="24"/>
          <w:szCs w:val="24"/>
        </w:rPr>
        <w:t xml:space="preserve">RSC </w:t>
      </w:r>
      <w:r>
        <w:rPr>
          <w:rFonts w:ascii="Times New Roman" w:hAnsi="Times New Roman" w:cs="Times New Roman"/>
          <w:sz w:val="24"/>
          <w:szCs w:val="24"/>
        </w:rPr>
        <w:t xml:space="preserve">1985, </w:t>
      </w:r>
      <w:r w:rsidRPr="000E61FD">
        <w:rPr>
          <w:rFonts w:ascii="Times New Roman" w:hAnsi="Times New Roman" w:cs="Times New Roman"/>
          <w:sz w:val="24"/>
          <w:szCs w:val="24"/>
        </w:rPr>
        <w:t>c I-5) that, subject to a few exceptions,</w:t>
      </w:r>
      <w:r w:rsidR="008A17FC" w:rsidRPr="008A17FC">
        <w:rPr>
          <w:rFonts w:ascii="Times New Roman" w:hAnsi="Times New Roman" w:cs="Times New Roman"/>
          <w:sz w:val="24"/>
          <w:szCs w:val="24"/>
          <w:vertAlign w:val="superscript"/>
        </w:rPr>
        <w:footnoteReference w:id="21"/>
      </w:r>
      <w:r w:rsidRPr="000E61FD">
        <w:rPr>
          <w:rFonts w:ascii="Times New Roman" w:hAnsi="Times New Roman" w:cs="Times New Roman"/>
          <w:sz w:val="24"/>
          <w:szCs w:val="24"/>
        </w:rPr>
        <w:t xml:space="preserve"> adopt</w:t>
      </w:r>
      <w:r>
        <w:rPr>
          <w:rFonts w:ascii="Times New Roman" w:hAnsi="Times New Roman" w:cs="Times New Roman"/>
          <w:sz w:val="24"/>
          <w:szCs w:val="24"/>
        </w:rPr>
        <w:t>s</w:t>
      </w:r>
      <w:r w:rsidRPr="000E61FD">
        <w:rPr>
          <w:rFonts w:ascii="Times New Roman" w:hAnsi="Times New Roman" w:cs="Times New Roman"/>
          <w:sz w:val="24"/>
          <w:szCs w:val="24"/>
        </w:rPr>
        <w:t xml:space="preserve"> provincial laws of general application as federal laws applicable to Indians.  </w:t>
      </w:r>
      <w:r>
        <w:rPr>
          <w:rFonts w:ascii="Times New Roman" w:hAnsi="Times New Roman" w:cs="Times New Roman"/>
          <w:sz w:val="24"/>
          <w:szCs w:val="24"/>
        </w:rPr>
        <w:t xml:space="preserve">We will say more about this below, but the main effects of </w:t>
      </w:r>
      <w:r w:rsidR="009A4F6F">
        <w:rPr>
          <w:rFonts w:ascii="Times New Roman" w:hAnsi="Times New Roman" w:cs="Times New Roman"/>
          <w:sz w:val="24"/>
          <w:szCs w:val="24"/>
        </w:rPr>
        <w:t>s 88</w:t>
      </w:r>
      <w:r>
        <w:rPr>
          <w:rFonts w:ascii="Times New Roman" w:hAnsi="Times New Roman" w:cs="Times New Roman"/>
          <w:sz w:val="24"/>
          <w:szCs w:val="24"/>
        </w:rPr>
        <w:t xml:space="preserve"> have been characterized as </w:t>
      </w:r>
      <w:r w:rsidRPr="000E61FD">
        <w:rPr>
          <w:rFonts w:ascii="Times New Roman" w:hAnsi="Times New Roman" w:cs="Times New Roman"/>
          <w:sz w:val="24"/>
          <w:szCs w:val="24"/>
        </w:rPr>
        <w:t>“severely limit[</w:t>
      </w:r>
      <w:proofErr w:type="spellStart"/>
      <w:r w:rsidRPr="000E61FD">
        <w:rPr>
          <w:rFonts w:ascii="Times New Roman" w:hAnsi="Times New Roman" w:cs="Times New Roman"/>
          <w:sz w:val="24"/>
          <w:szCs w:val="24"/>
        </w:rPr>
        <w:t>ing</w:t>
      </w:r>
      <w:proofErr w:type="spellEnd"/>
      <w:r w:rsidRPr="000E61FD">
        <w:rPr>
          <w:rFonts w:ascii="Times New Roman" w:hAnsi="Times New Roman" w:cs="Times New Roman"/>
          <w:sz w:val="24"/>
          <w:szCs w:val="24"/>
        </w:rPr>
        <w:t>] First Nations’ political power in Canada” and “</w:t>
      </w:r>
      <w:proofErr w:type="spellStart"/>
      <w:r w:rsidRPr="000E61FD">
        <w:rPr>
          <w:rFonts w:ascii="Times New Roman" w:hAnsi="Times New Roman" w:cs="Times New Roman"/>
          <w:sz w:val="24"/>
          <w:szCs w:val="24"/>
        </w:rPr>
        <w:t>creat</w:t>
      </w:r>
      <w:proofErr w:type="spellEnd"/>
      <w:r w:rsidRPr="000E61FD">
        <w:rPr>
          <w:rFonts w:ascii="Times New Roman" w:hAnsi="Times New Roman" w:cs="Times New Roman"/>
          <w:sz w:val="24"/>
          <w:szCs w:val="24"/>
        </w:rPr>
        <w:t>[</w:t>
      </w:r>
      <w:proofErr w:type="spellStart"/>
      <w:r w:rsidRPr="000E61FD">
        <w:rPr>
          <w:rFonts w:ascii="Times New Roman" w:hAnsi="Times New Roman" w:cs="Times New Roman"/>
          <w:sz w:val="24"/>
          <w:szCs w:val="24"/>
        </w:rPr>
        <w:t>ing</w:t>
      </w:r>
      <w:proofErr w:type="spellEnd"/>
      <w:r w:rsidRPr="000E61FD">
        <w:rPr>
          <w:rFonts w:ascii="Times New Roman" w:hAnsi="Times New Roman" w:cs="Times New Roman"/>
          <w:sz w:val="24"/>
          <w:szCs w:val="24"/>
        </w:rPr>
        <w:t>] very few incentives for the federal government to work with First Nations to pass legislation recognizing and affirming their Aboriginal and treaty rights throughout the country</w:t>
      </w:r>
      <w:r w:rsidRPr="008041FE">
        <w:rPr>
          <w:rFonts w:ascii="Times New Roman" w:hAnsi="Times New Roman" w:cs="Times New Roman"/>
          <w:sz w:val="24"/>
          <w:szCs w:val="24"/>
        </w:rPr>
        <w:t>.”</w:t>
      </w:r>
      <w:r w:rsidRPr="008041FE">
        <w:rPr>
          <w:rStyle w:val="FootnoteReference"/>
          <w:rFonts w:ascii="Times New Roman" w:hAnsi="Times New Roman" w:cs="Times New Roman"/>
          <w:sz w:val="24"/>
          <w:szCs w:val="24"/>
        </w:rPr>
        <w:footnoteReference w:id="22"/>
      </w:r>
      <w:r w:rsidRPr="008041FE">
        <w:rPr>
          <w:rFonts w:ascii="Times New Roman" w:hAnsi="Times New Roman" w:cs="Times New Roman"/>
          <w:sz w:val="24"/>
          <w:szCs w:val="24"/>
        </w:rPr>
        <w:t xml:space="preserve"> </w:t>
      </w:r>
    </w:p>
    <w:p w14:paraId="0E420AD2" w14:textId="77777777" w:rsidR="00B47858" w:rsidRPr="000E61FD" w:rsidRDefault="00B47858" w:rsidP="00684B3E">
      <w:pPr>
        <w:pStyle w:val="ListParagraph"/>
        <w:ind w:left="0"/>
        <w:jc w:val="both"/>
        <w:rPr>
          <w:rFonts w:ascii="Times New Roman" w:hAnsi="Times New Roman" w:cs="Times New Roman"/>
          <w:sz w:val="24"/>
          <w:szCs w:val="24"/>
        </w:rPr>
      </w:pPr>
    </w:p>
    <w:p w14:paraId="0208D3FE" w14:textId="71D5BF5A" w:rsidR="00B47858" w:rsidRPr="000E61FD" w:rsidRDefault="00B47858" w:rsidP="00684B3E">
      <w:pPr>
        <w:pStyle w:val="ListParagraph"/>
        <w:numPr>
          <w:ilvl w:val="0"/>
          <w:numId w:val="1"/>
        </w:numPr>
        <w:ind w:left="0" w:firstLine="0"/>
        <w:jc w:val="both"/>
        <w:rPr>
          <w:rFonts w:ascii="Times New Roman" w:hAnsi="Times New Roman" w:cs="Times New Roman"/>
          <w:sz w:val="24"/>
          <w:szCs w:val="24"/>
        </w:rPr>
      </w:pPr>
      <w:r w:rsidRPr="000E61FD">
        <w:rPr>
          <w:rFonts w:ascii="Times New Roman" w:hAnsi="Times New Roman" w:cs="Times New Roman"/>
          <w:sz w:val="24"/>
        </w:rPr>
        <w:t xml:space="preserve">For the first 30 years of its existence, </w:t>
      </w:r>
      <w:r w:rsidR="009A4F6F">
        <w:rPr>
          <w:rFonts w:ascii="Times New Roman" w:hAnsi="Times New Roman" w:cs="Times New Roman"/>
          <w:sz w:val="24"/>
        </w:rPr>
        <w:t>s 88</w:t>
      </w:r>
      <w:r w:rsidRPr="000E61FD">
        <w:rPr>
          <w:rFonts w:ascii="Times New Roman" w:hAnsi="Times New Roman" w:cs="Times New Roman"/>
          <w:sz w:val="24"/>
        </w:rPr>
        <w:t xml:space="preserve"> of the </w:t>
      </w:r>
      <w:r w:rsidRPr="000E61FD">
        <w:rPr>
          <w:rFonts w:ascii="Times New Roman" w:hAnsi="Times New Roman" w:cs="Times New Roman"/>
          <w:i/>
          <w:sz w:val="24"/>
        </w:rPr>
        <w:t>Indian Act</w:t>
      </w:r>
      <w:r w:rsidRPr="000E61FD">
        <w:rPr>
          <w:rFonts w:ascii="Times New Roman" w:hAnsi="Times New Roman" w:cs="Times New Roman"/>
          <w:sz w:val="24"/>
        </w:rPr>
        <w:t xml:space="preserve"> was generally viewed as being the sole basis for </w:t>
      </w:r>
      <w:r>
        <w:rPr>
          <w:rFonts w:ascii="Times New Roman" w:hAnsi="Times New Roman" w:cs="Times New Roman"/>
          <w:sz w:val="24"/>
        </w:rPr>
        <w:t xml:space="preserve">the </w:t>
      </w:r>
      <w:r w:rsidRPr="000E61FD">
        <w:rPr>
          <w:rFonts w:ascii="Times New Roman" w:hAnsi="Times New Roman" w:cs="Times New Roman"/>
          <w:sz w:val="24"/>
        </w:rPr>
        <w:t xml:space="preserve">application of provincial laws to First Nations.  However, in </w:t>
      </w:r>
      <w:r>
        <w:rPr>
          <w:rFonts w:ascii="Times New Roman" w:hAnsi="Times New Roman" w:cs="Times New Roman"/>
          <w:sz w:val="24"/>
        </w:rPr>
        <w:t xml:space="preserve">the </w:t>
      </w:r>
      <w:r w:rsidRPr="000E61FD">
        <w:rPr>
          <w:rFonts w:ascii="Times New Roman" w:hAnsi="Times New Roman" w:cs="Times New Roman"/>
          <w:sz w:val="24"/>
        </w:rPr>
        <w:t xml:space="preserve">1985 case of </w:t>
      </w:r>
      <w:r w:rsidRPr="000E61FD">
        <w:rPr>
          <w:rFonts w:ascii="Times New Roman" w:hAnsi="Times New Roman" w:cs="Times New Roman"/>
          <w:i/>
          <w:sz w:val="24"/>
        </w:rPr>
        <w:t>Dick v R</w:t>
      </w:r>
      <w:r w:rsidRPr="000E61FD">
        <w:rPr>
          <w:rFonts w:ascii="Times New Roman" w:hAnsi="Times New Roman" w:cs="Times New Roman"/>
          <w:sz w:val="24"/>
        </w:rPr>
        <w:t>, the SCC decided that most provincial laws of general application appl</w:t>
      </w:r>
      <w:r>
        <w:rPr>
          <w:rFonts w:ascii="Times New Roman" w:hAnsi="Times New Roman" w:cs="Times New Roman"/>
          <w:sz w:val="24"/>
        </w:rPr>
        <w:t>y</w:t>
      </w:r>
      <w:r w:rsidRPr="000E61FD">
        <w:rPr>
          <w:rFonts w:ascii="Times New Roman" w:hAnsi="Times New Roman" w:cs="Times New Roman"/>
          <w:sz w:val="24"/>
        </w:rPr>
        <w:t xml:space="preserve"> of their own force (</w:t>
      </w:r>
      <w:r w:rsidRPr="000E61FD">
        <w:rPr>
          <w:rFonts w:ascii="Times New Roman" w:hAnsi="Times New Roman" w:cs="Times New Roman"/>
          <w:i/>
          <w:sz w:val="24"/>
        </w:rPr>
        <w:t xml:space="preserve">ex proprio </w:t>
      </w:r>
      <w:proofErr w:type="spellStart"/>
      <w:r w:rsidRPr="000E61FD">
        <w:rPr>
          <w:rFonts w:ascii="Times New Roman" w:hAnsi="Times New Roman" w:cs="Times New Roman"/>
          <w:i/>
          <w:sz w:val="24"/>
        </w:rPr>
        <w:t>vigore</w:t>
      </w:r>
      <w:proofErr w:type="spellEnd"/>
      <w:r w:rsidRPr="000E61FD">
        <w:rPr>
          <w:rFonts w:ascii="Times New Roman" w:hAnsi="Times New Roman" w:cs="Times New Roman"/>
          <w:sz w:val="24"/>
        </w:rPr>
        <w:t xml:space="preserve">) to Indigenous peoples, relegating </w:t>
      </w:r>
      <w:r w:rsidR="009A4F6F">
        <w:rPr>
          <w:rFonts w:ascii="Times New Roman" w:hAnsi="Times New Roman" w:cs="Times New Roman"/>
          <w:sz w:val="24"/>
        </w:rPr>
        <w:t>s 88</w:t>
      </w:r>
      <w:r w:rsidRPr="000E61FD">
        <w:rPr>
          <w:rFonts w:ascii="Times New Roman" w:hAnsi="Times New Roman" w:cs="Times New Roman"/>
          <w:sz w:val="24"/>
        </w:rPr>
        <w:t xml:space="preserve"> to a much-reduced r</w:t>
      </w:r>
      <w:r>
        <w:rPr>
          <w:rFonts w:ascii="Times New Roman" w:hAnsi="Times New Roman" w:cs="Times New Roman"/>
          <w:sz w:val="24"/>
        </w:rPr>
        <w:t>o</w:t>
      </w:r>
      <w:r w:rsidRPr="000E61FD">
        <w:rPr>
          <w:rFonts w:ascii="Times New Roman" w:hAnsi="Times New Roman" w:cs="Times New Roman"/>
          <w:sz w:val="24"/>
        </w:rPr>
        <w:t xml:space="preserve">le of reinvigorating those provincial laws that touched on the ‘core of </w:t>
      </w:r>
      <w:proofErr w:type="spellStart"/>
      <w:r w:rsidRPr="000E61FD">
        <w:rPr>
          <w:rFonts w:ascii="Times New Roman" w:hAnsi="Times New Roman" w:cs="Times New Roman"/>
          <w:sz w:val="24"/>
        </w:rPr>
        <w:t>Indianess</w:t>
      </w:r>
      <w:proofErr w:type="spellEnd"/>
      <w:r w:rsidRPr="000E61FD">
        <w:rPr>
          <w:rFonts w:ascii="Times New Roman" w:hAnsi="Times New Roman" w:cs="Times New Roman"/>
          <w:sz w:val="24"/>
        </w:rPr>
        <w:t>’ (invokin</w:t>
      </w:r>
      <w:r>
        <w:rPr>
          <w:rFonts w:ascii="Times New Roman" w:hAnsi="Times New Roman" w:cs="Times New Roman"/>
          <w:sz w:val="24"/>
        </w:rPr>
        <w:t>g the doctrine of interjurisdic</w:t>
      </w:r>
      <w:r w:rsidRPr="000E61FD">
        <w:rPr>
          <w:rFonts w:ascii="Times New Roman" w:hAnsi="Times New Roman" w:cs="Times New Roman"/>
          <w:sz w:val="24"/>
        </w:rPr>
        <w:t>t</w:t>
      </w:r>
      <w:r>
        <w:rPr>
          <w:rFonts w:ascii="Times New Roman" w:hAnsi="Times New Roman" w:cs="Times New Roman"/>
          <w:sz w:val="24"/>
        </w:rPr>
        <w:t>i</w:t>
      </w:r>
      <w:r w:rsidRPr="000E61FD">
        <w:rPr>
          <w:rFonts w:ascii="Times New Roman" w:hAnsi="Times New Roman" w:cs="Times New Roman"/>
          <w:sz w:val="24"/>
        </w:rPr>
        <w:t>onal immunity).</w:t>
      </w:r>
      <w:r>
        <w:rPr>
          <w:rStyle w:val="FootnoteReference"/>
          <w:rFonts w:ascii="Times New Roman" w:hAnsi="Times New Roman" w:cs="Times New Roman"/>
          <w:sz w:val="24"/>
        </w:rPr>
        <w:footnoteReference w:id="23"/>
      </w:r>
      <w:r w:rsidRPr="000E61FD">
        <w:rPr>
          <w:rFonts w:ascii="Times New Roman" w:hAnsi="Times New Roman" w:cs="Times New Roman"/>
          <w:sz w:val="24"/>
        </w:rPr>
        <w:t xml:space="preserve">  In other words, the SCC effectively converted </w:t>
      </w:r>
      <w:r>
        <w:rPr>
          <w:rFonts w:ascii="Times New Roman" w:hAnsi="Times New Roman" w:cs="Times New Roman"/>
          <w:sz w:val="24"/>
        </w:rPr>
        <w:t>the problematic approach</w:t>
      </w:r>
      <w:r w:rsidRPr="000E61FD">
        <w:rPr>
          <w:rFonts w:ascii="Times New Roman" w:hAnsi="Times New Roman" w:cs="Times New Roman"/>
          <w:sz w:val="24"/>
        </w:rPr>
        <w:t xml:space="preserve"> </w:t>
      </w:r>
      <w:r>
        <w:rPr>
          <w:rFonts w:ascii="Times New Roman" w:hAnsi="Times New Roman" w:cs="Times New Roman"/>
          <w:sz w:val="24"/>
        </w:rPr>
        <w:t xml:space="preserve">of expansive application of provincial laws permitted </w:t>
      </w:r>
      <w:r w:rsidRPr="000E61FD">
        <w:rPr>
          <w:rFonts w:ascii="Times New Roman" w:hAnsi="Times New Roman" w:cs="Times New Roman"/>
          <w:sz w:val="24"/>
        </w:rPr>
        <w:t xml:space="preserve">by </w:t>
      </w:r>
      <w:r w:rsidR="009A4F6F">
        <w:rPr>
          <w:rFonts w:ascii="Times New Roman" w:hAnsi="Times New Roman" w:cs="Times New Roman"/>
          <w:sz w:val="24"/>
        </w:rPr>
        <w:t>s 88</w:t>
      </w:r>
      <w:r w:rsidRPr="000E61FD">
        <w:rPr>
          <w:rFonts w:ascii="Times New Roman" w:hAnsi="Times New Roman" w:cs="Times New Roman"/>
          <w:sz w:val="24"/>
        </w:rPr>
        <w:t xml:space="preserve"> into a </w:t>
      </w:r>
      <w:r>
        <w:rPr>
          <w:rFonts w:ascii="Times New Roman" w:hAnsi="Times New Roman" w:cs="Times New Roman"/>
          <w:sz w:val="24"/>
        </w:rPr>
        <w:t xml:space="preserve">default </w:t>
      </w:r>
      <w:r w:rsidRPr="000E61FD">
        <w:rPr>
          <w:rFonts w:ascii="Times New Roman" w:hAnsi="Times New Roman" w:cs="Times New Roman"/>
          <w:sz w:val="24"/>
        </w:rPr>
        <w:t xml:space="preserve">constitutional rule in </w:t>
      </w:r>
      <w:r w:rsidRPr="000E61FD">
        <w:rPr>
          <w:rFonts w:ascii="Times New Roman" w:hAnsi="Times New Roman" w:cs="Times New Roman"/>
          <w:i/>
          <w:sz w:val="24"/>
        </w:rPr>
        <w:t>Dick</w:t>
      </w:r>
      <w:r w:rsidRPr="000E61FD">
        <w:rPr>
          <w:rFonts w:ascii="Times New Roman" w:hAnsi="Times New Roman" w:cs="Times New Roman"/>
          <w:sz w:val="24"/>
        </w:rPr>
        <w:t>.</w:t>
      </w:r>
    </w:p>
    <w:p w14:paraId="2ED777CA" w14:textId="77777777" w:rsidR="00B47858" w:rsidRPr="000E61FD" w:rsidRDefault="00B47858" w:rsidP="00684B3E">
      <w:pPr>
        <w:pStyle w:val="ListParagraph"/>
        <w:rPr>
          <w:rFonts w:ascii="Times New Roman" w:hAnsi="Times New Roman" w:cs="Times New Roman"/>
          <w:sz w:val="24"/>
          <w:szCs w:val="24"/>
        </w:rPr>
      </w:pPr>
    </w:p>
    <w:p w14:paraId="00351AEB" w14:textId="114BF8EA" w:rsidR="00B47858" w:rsidRPr="0013064C" w:rsidRDefault="00B47858" w:rsidP="00684B3E">
      <w:pPr>
        <w:pStyle w:val="ListParagraph"/>
        <w:numPr>
          <w:ilvl w:val="0"/>
          <w:numId w:val="1"/>
        </w:numPr>
        <w:ind w:left="0" w:firstLine="0"/>
        <w:jc w:val="both"/>
        <w:rPr>
          <w:rFonts w:ascii="Times New Roman" w:hAnsi="Times New Roman" w:cs="Times New Roman"/>
          <w:sz w:val="24"/>
          <w:szCs w:val="24"/>
        </w:rPr>
      </w:pPr>
      <w:r w:rsidRPr="00E81304">
        <w:rPr>
          <w:rFonts w:ascii="Times New Roman" w:hAnsi="Times New Roman" w:cs="Times New Roman"/>
          <w:sz w:val="24"/>
        </w:rPr>
        <w:t xml:space="preserve">In the </w:t>
      </w:r>
      <w:r>
        <w:rPr>
          <w:rFonts w:ascii="Times New Roman" w:hAnsi="Times New Roman" w:cs="Times New Roman"/>
          <w:sz w:val="24"/>
        </w:rPr>
        <w:t xml:space="preserve">last fifty </w:t>
      </w:r>
      <w:r w:rsidRPr="00E81304">
        <w:rPr>
          <w:rFonts w:ascii="Times New Roman" w:hAnsi="Times New Roman" w:cs="Times New Roman"/>
          <w:sz w:val="24"/>
        </w:rPr>
        <w:t xml:space="preserve">years, there have been a small number of cases where the SCC </w:t>
      </w:r>
      <w:r>
        <w:rPr>
          <w:rFonts w:ascii="Times New Roman" w:hAnsi="Times New Roman" w:cs="Times New Roman"/>
          <w:sz w:val="24"/>
        </w:rPr>
        <w:t xml:space="preserve">has recognized </w:t>
      </w:r>
      <w:r w:rsidRPr="002F0698">
        <w:rPr>
          <w:rFonts w:ascii="Times New Roman" w:hAnsi="Times New Roman" w:cs="Times New Roman"/>
          <w:sz w:val="24"/>
        </w:rPr>
        <w:t>the federal government</w:t>
      </w:r>
      <w:r>
        <w:rPr>
          <w:rFonts w:ascii="Times New Roman" w:hAnsi="Times New Roman" w:cs="Times New Roman"/>
          <w:sz w:val="24"/>
        </w:rPr>
        <w:t>’s</w:t>
      </w:r>
      <w:r w:rsidRPr="002F0698">
        <w:rPr>
          <w:rFonts w:ascii="Times New Roman" w:hAnsi="Times New Roman" w:cs="Times New Roman"/>
          <w:sz w:val="24"/>
        </w:rPr>
        <w:t xml:space="preserve"> </w:t>
      </w:r>
      <w:r>
        <w:rPr>
          <w:rFonts w:ascii="Times New Roman" w:hAnsi="Times New Roman" w:cs="Times New Roman"/>
          <w:sz w:val="24"/>
        </w:rPr>
        <w:t>exclusive law-</w:t>
      </w:r>
      <w:r w:rsidRPr="00E81304">
        <w:rPr>
          <w:rFonts w:ascii="Times New Roman" w:hAnsi="Times New Roman" w:cs="Times New Roman"/>
          <w:sz w:val="24"/>
        </w:rPr>
        <w:t>making powers</w:t>
      </w:r>
      <w:r>
        <w:rPr>
          <w:rFonts w:ascii="Times New Roman" w:hAnsi="Times New Roman" w:cs="Times New Roman"/>
          <w:sz w:val="24"/>
        </w:rPr>
        <w:t>.</w:t>
      </w:r>
      <w:r>
        <w:rPr>
          <w:rStyle w:val="FootnoteReference"/>
          <w:rFonts w:ascii="Times New Roman" w:hAnsi="Times New Roman" w:cs="Times New Roman"/>
          <w:sz w:val="24"/>
        </w:rPr>
        <w:footnoteReference w:id="24"/>
      </w:r>
      <w:r>
        <w:rPr>
          <w:rFonts w:ascii="Times New Roman" w:hAnsi="Times New Roman" w:cs="Times New Roman"/>
          <w:sz w:val="24"/>
        </w:rPr>
        <w:t xml:space="preserve">  </w:t>
      </w:r>
      <w:r w:rsidRPr="0013064C">
        <w:rPr>
          <w:rFonts w:ascii="Times New Roman" w:hAnsi="Times New Roman" w:cs="Times New Roman"/>
          <w:sz w:val="24"/>
        </w:rPr>
        <w:t xml:space="preserve">The general trend, however, has been for the SCC to give provinces ever-increasing powers over Indigenous </w:t>
      </w:r>
      <w:r w:rsidR="008A17FC">
        <w:rPr>
          <w:rFonts w:ascii="Times New Roman" w:hAnsi="Times New Roman" w:cs="Times New Roman"/>
          <w:sz w:val="24"/>
        </w:rPr>
        <w:t>p</w:t>
      </w:r>
      <w:r w:rsidRPr="0013064C">
        <w:rPr>
          <w:rFonts w:ascii="Times New Roman" w:hAnsi="Times New Roman" w:cs="Times New Roman"/>
          <w:sz w:val="24"/>
        </w:rPr>
        <w:t xml:space="preserve">eoples.  Most notably, in </w:t>
      </w:r>
      <w:proofErr w:type="spellStart"/>
      <w:r w:rsidRPr="0013064C">
        <w:rPr>
          <w:rFonts w:ascii="Times New Roman" w:hAnsi="Times New Roman" w:cs="Times New Roman"/>
          <w:i/>
          <w:sz w:val="24"/>
        </w:rPr>
        <w:t>Kitkatla</w:t>
      </w:r>
      <w:proofErr w:type="spellEnd"/>
      <w:r w:rsidRPr="0013064C">
        <w:rPr>
          <w:rFonts w:ascii="Times New Roman" w:hAnsi="Times New Roman" w:cs="Times New Roman"/>
          <w:i/>
          <w:sz w:val="24"/>
        </w:rPr>
        <w:t xml:space="preserve"> Band v British Columbia (Minister of Small Business, Tourism and Culture)</w:t>
      </w:r>
      <w:r w:rsidRPr="0013064C">
        <w:rPr>
          <w:rFonts w:ascii="Times New Roman" w:hAnsi="Times New Roman" w:cs="Times New Roman"/>
          <w:sz w:val="24"/>
        </w:rPr>
        <w:t>,</w:t>
      </w:r>
      <w:r>
        <w:rPr>
          <w:rStyle w:val="FootnoteReference"/>
          <w:rFonts w:ascii="Times New Roman" w:hAnsi="Times New Roman" w:cs="Times New Roman"/>
          <w:sz w:val="24"/>
        </w:rPr>
        <w:footnoteReference w:id="25"/>
      </w:r>
      <w:r w:rsidRPr="0013064C">
        <w:rPr>
          <w:rFonts w:ascii="Times New Roman" w:hAnsi="Times New Roman" w:cs="Times New Roman"/>
          <w:sz w:val="24"/>
        </w:rPr>
        <w:t xml:space="preserve"> the SCC all but eliminated the constitutional rule known as ‘singling out’</w:t>
      </w:r>
      <w:r w:rsidR="009A4F6F">
        <w:rPr>
          <w:rFonts w:ascii="Times New Roman" w:hAnsi="Times New Roman" w:cs="Times New Roman"/>
          <w:sz w:val="24"/>
        </w:rPr>
        <w:t>,</w:t>
      </w:r>
      <w:r w:rsidRPr="0013064C">
        <w:rPr>
          <w:rFonts w:ascii="Times New Roman" w:hAnsi="Times New Roman" w:cs="Times New Roman"/>
          <w:sz w:val="24"/>
        </w:rPr>
        <w:t xml:space="preserve"> which prevented provinces from passing laws that explicitly set policies in relation to Indigenous peoples (either for </w:t>
      </w:r>
      <w:r>
        <w:rPr>
          <w:rFonts w:ascii="Times New Roman" w:hAnsi="Times New Roman" w:cs="Times New Roman"/>
          <w:sz w:val="24"/>
        </w:rPr>
        <w:t>their benefit or detriment).</w:t>
      </w:r>
      <w:r>
        <w:rPr>
          <w:rStyle w:val="FootnoteReference"/>
          <w:rFonts w:ascii="Times New Roman" w:hAnsi="Times New Roman" w:cs="Times New Roman"/>
          <w:sz w:val="24"/>
        </w:rPr>
        <w:footnoteReference w:id="26"/>
      </w:r>
      <w:r w:rsidRPr="0013064C">
        <w:rPr>
          <w:rFonts w:ascii="Times New Roman" w:hAnsi="Times New Roman" w:cs="Times New Roman"/>
          <w:sz w:val="24"/>
        </w:rPr>
        <w:t xml:space="preserve">  On the effect of this decision, Jean Leclair has commented</w:t>
      </w:r>
      <w:r w:rsidRPr="0013064C">
        <w:rPr>
          <w:rFonts w:ascii="Times New Roman" w:hAnsi="Times New Roman" w:cs="Times New Roman"/>
          <w:sz w:val="24"/>
          <w:szCs w:val="24"/>
        </w:rPr>
        <w:t>: “the Supreme Court confined Parliament’s exclusive jurisdiction over Indians to such a narrow compass that most aboriginal issues can now be said to have a double aspect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14:paraId="289D2CD3" w14:textId="77777777" w:rsidR="00B47858" w:rsidRDefault="00B47858" w:rsidP="00684B3E">
      <w:pPr>
        <w:pStyle w:val="ListParagraph"/>
        <w:ind w:left="0"/>
        <w:jc w:val="both"/>
        <w:rPr>
          <w:rFonts w:ascii="Times New Roman" w:hAnsi="Times New Roman" w:cs="Times New Roman"/>
          <w:sz w:val="24"/>
          <w:szCs w:val="24"/>
        </w:rPr>
      </w:pPr>
    </w:p>
    <w:p w14:paraId="0D3E9094" w14:textId="0BC97E5D" w:rsidR="00B47858" w:rsidRPr="006D5190" w:rsidRDefault="00B47858" w:rsidP="00684B3E">
      <w:pPr>
        <w:pStyle w:val="ListParagraph"/>
        <w:numPr>
          <w:ilvl w:val="0"/>
          <w:numId w:val="1"/>
        </w:numPr>
        <w:ind w:left="0" w:firstLine="0"/>
        <w:jc w:val="both"/>
        <w:rPr>
          <w:rFonts w:ascii="Times New Roman" w:hAnsi="Times New Roman" w:cs="Times New Roman"/>
          <w:sz w:val="24"/>
        </w:rPr>
      </w:pPr>
      <w:r w:rsidRPr="00E81304">
        <w:rPr>
          <w:rFonts w:ascii="Times New Roman" w:hAnsi="Times New Roman" w:cs="Times New Roman"/>
          <w:sz w:val="24"/>
        </w:rPr>
        <w:lastRenderedPageBreak/>
        <w:t>Finally</w:t>
      </w:r>
      <w:r>
        <w:rPr>
          <w:rFonts w:ascii="Times New Roman" w:hAnsi="Times New Roman" w:cs="Times New Roman"/>
          <w:sz w:val="24"/>
        </w:rPr>
        <w:t>,</w:t>
      </w:r>
      <w:r w:rsidRPr="00E81304">
        <w:rPr>
          <w:rFonts w:ascii="Times New Roman" w:hAnsi="Times New Roman" w:cs="Times New Roman"/>
          <w:sz w:val="24"/>
        </w:rPr>
        <w:t xml:space="preserve"> in </w:t>
      </w:r>
      <w:proofErr w:type="spellStart"/>
      <w:r w:rsidRPr="00E81304">
        <w:rPr>
          <w:rFonts w:ascii="Times New Roman" w:hAnsi="Times New Roman" w:cs="Times New Roman"/>
          <w:i/>
          <w:sz w:val="24"/>
        </w:rPr>
        <w:t>Tsilhqot’in</w:t>
      </w:r>
      <w:proofErr w:type="spellEnd"/>
      <w:r w:rsidRPr="00E81304">
        <w:rPr>
          <w:rFonts w:ascii="Times New Roman" w:hAnsi="Times New Roman" w:cs="Times New Roman"/>
          <w:i/>
          <w:sz w:val="24"/>
        </w:rPr>
        <w:t xml:space="preserve"> Nation v British Columbia</w:t>
      </w:r>
      <w:r>
        <w:rPr>
          <w:rFonts w:ascii="Times New Roman" w:hAnsi="Times New Roman" w:cs="Times New Roman"/>
          <w:sz w:val="24"/>
        </w:rPr>
        <w:t xml:space="preserve"> </w:t>
      </w:r>
      <w:r w:rsidRPr="00E81304">
        <w:rPr>
          <w:rFonts w:ascii="Times New Roman" w:hAnsi="Times New Roman" w:cs="Times New Roman"/>
          <w:sz w:val="24"/>
        </w:rPr>
        <w:t xml:space="preserve">and </w:t>
      </w:r>
      <w:r w:rsidRPr="00E81304">
        <w:rPr>
          <w:rFonts w:ascii="Times New Roman" w:hAnsi="Times New Roman" w:cs="Times New Roman"/>
          <w:i/>
          <w:sz w:val="24"/>
        </w:rPr>
        <w:t xml:space="preserve">Grassy Narrows First Nation </w:t>
      </w:r>
      <w:r>
        <w:rPr>
          <w:rFonts w:ascii="Times New Roman" w:hAnsi="Times New Roman" w:cs="Times New Roman"/>
          <w:i/>
          <w:sz w:val="24"/>
        </w:rPr>
        <w:t>v Ontario (Natural Resources)</w:t>
      </w:r>
      <w:r w:rsidRPr="00E81304">
        <w:rPr>
          <w:rFonts w:ascii="Times New Roman" w:hAnsi="Times New Roman" w:cs="Times New Roman"/>
          <w:sz w:val="24"/>
        </w:rPr>
        <w:t xml:space="preserve">, the SCC </w:t>
      </w:r>
      <w:r>
        <w:rPr>
          <w:rFonts w:ascii="Times New Roman" w:hAnsi="Times New Roman" w:cs="Times New Roman"/>
          <w:sz w:val="24"/>
        </w:rPr>
        <w:t>reversed</w:t>
      </w:r>
      <w:r w:rsidRPr="00E81304">
        <w:rPr>
          <w:rFonts w:ascii="Times New Roman" w:hAnsi="Times New Roman" w:cs="Times New Roman"/>
          <w:sz w:val="24"/>
        </w:rPr>
        <w:t xml:space="preserve"> </w:t>
      </w:r>
      <w:r>
        <w:rPr>
          <w:rFonts w:ascii="Times New Roman" w:hAnsi="Times New Roman" w:cs="Times New Roman"/>
          <w:sz w:val="24"/>
        </w:rPr>
        <w:t>earlier rulings</w:t>
      </w:r>
      <w:r w:rsidRPr="00E81304">
        <w:rPr>
          <w:rFonts w:ascii="Times New Roman" w:hAnsi="Times New Roman" w:cs="Times New Roman"/>
          <w:sz w:val="24"/>
        </w:rPr>
        <w:t xml:space="preserve"> </w:t>
      </w:r>
      <w:r>
        <w:rPr>
          <w:rFonts w:ascii="Times New Roman" w:hAnsi="Times New Roman" w:cs="Times New Roman"/>
          <w:sz w:val="24"/>
        </w:rPr>
        <w:t xml:space="preserve">holding </w:t>
      </w:r>
      <w:r w:rsidRPr="00E81304">
        <w:rPr>
          <w:rFonts w:ascii="Times New Roman" w:hAnsi="Times New Roman" w:cs="Times New Roman"/>
          <w:sz w:val="24"/>
        </w:rPr>
        <w:t xml:space="preserve">that Aboriginal and treaty rights are </w:t>
      </w:r>
      <w:r>
        <w:rPr>
          <w:rFonts w:ascii="Times New Roman" w:hAnsi="Times New Roman" w:cs="Times New Roman"/>
          <w:sz w:val="24"/>
        </w:rPr>
        <w:t>within the exclusive jurisdiction of the federal government</w:t>
      </w:r>
      <w:r w:rsidRPr="00E81304">
        <w:rPr>
          <w:rFonts w:ascii="Times New Roman" w:hAnsi="Times New Roman" w:cs="Times New Roman"/>
          <w:sz w:val="24"/>
        </w:rPr>
        <w:t>,</w:t>
      </w:r>
      <w:r w:rsidRPr="00E81304">
        <w:rPr>
          <w:rFonts w:ascii="Times New Roman" w:hAnsi="Times New Roman" w:cs="Times New Roman"/>
          <w:i/>
          <w:sz w:val="24"/>
        </w:rPr>
        <w:t xml:space="preserve"> </w:t>
      </w:r>
      <w:r w:rsidRPr="00E81304">
        <w:rPr>
          <w:rFonts w:ascii="Times New Roman" w:hAnsi="Times New Roman" w:cs="Times New Roman"/>
          <w:sz w:val="24"/>
        </w:rPr>
        <w:t xml:space="preserve">virtually obliterating the concept of a </w:t>
      </w:r>
      <w:r w:rsidR="006E6AED">
        <w:rPr>
          <w:rFonts w:ascii="Times New Roman" w:hAnsi="Times New Roman" w:cs="Times New Roman"/>
          <w:sz w:val="24"/>
        </w:rPr>
        <w:t>‘</w:t>
      </w:r>
      <w:r w:rsidRPr="00E81304">
        <w:rPr>
          <w:rFonts w:ascii="Times New Roman" w:hAnsi="Times New Roman" w:cs="Times New Roman"/>
          <w:sz w:val="24"/>
        </w:rPr>
        <w:t xml:space="preserve">core of </w:t>
      </w:r>
      <w:proofErr w:type="spellStart"/>
      <w:r w:rsidRPr="00E81304">
        <w:rPr>
          <w:rFonts w:ascii="Times New Roman" w:hAnsi="Times New Roman" w:cs="Times New Roman"/>
          <w:sz w:val="24"/>
        </w:rPr>
        <w:t>Indianess</w:t>
      </w:r>
      <w:proofErr w:type="spellEnd"/>
      <w:r w:rsidRPr="00E81304">
        <w:rPr>
          <w:rFonts w:ascii="Times New Roman" w:hAnsi="Times New Roman" w:cs="Times New Roman"/>
          <w:sz w:val="24"/>
        </w:rPr>
        <w:t>.</w:t>
      </w:r>
      <w:r w:rsidR="006E6AED">
        <w:rPr>
          <w:rFonts w:ascii="Times New Roman" w:hAnsi="Times New Roman" w:cs="Times New Roman"/>
          <w:sz w:val="24"/>
        </w:rPr>
        <w:t>’</w:t>
      </w:r>
      <w:r>
        <w:rPr>
          <w:rStyle w:val="FootnoteReference"/>
          <w:rFonts w:ascii="Times New Roman" w:hAnsi="Times New Roman" w:cs="Times New Roman"/>
          <w:sz w:val="24"/>
        </w:rPr>
        <w:footnoteReference w:id="28"/>
      </w:r>
      <w:r>
        <w:rPr>
          <w:rFonts w:ascii="Times New Roman" w:hAnsi="Times New Roman" w:cs="Times New Roman"/>
          <w:sz w:val="24"/>
        </w:rPr>
        <w:t xml:space="preserve">  Building on </w:t>
      </w:r>
      <w:proofErr w:type="spellStart"/>
      <w:r>
        <w:rPr>
          <w:rFonts w:ascii="Times New Roman" w:hAnsi="Times New Roman" w:cs="Times New Roman"/>
          <w:i/>
          <w:iCs/>
          <w:sz w:val="24"/>
        </w:rPr>
        <w:t>Kitkatla</w:t>
      </w:r>
      <w:proofErr w:type="spellEnd"/>
      <w:r>
        <w:rPr>
          <w:rFonts w:ascii="Times New Roman" w:hAnsi="Times New Roman" w:cs="Times New Roman"/>
          <w:sz w:val="24"/>
        </w:rPr>
        <w:t>, the Court further suggested that provincial law specifically legislating in relation to Aboriginal title would be valid.</w:t>
      </w:r>
      <w:r>
        <w:rPr>
          <w:rStyle w:val="FootnoteReference"/>
          <w:rFonts w:ascii="Times New Roman" w:hAnsi="Times New Roman" w:cs="Times New Roman"/>
          <w:sz w:val="24"/>
        </w:rPr>
        <w:footnoteReference w:id="29"/>
      </w:r>
      <w:r>
        <w:rPr>
          <w:rFonts w:ascii="Times New Roman" w:hAnsi="Times New Roman" w:cs="Times New Roman"/>
          <w:sz w:val="24"/>
        </w:rPr>
        <w:t xml:space="preserve">  Scholars have criticized these cases for prioritizing</w:t>
      </w:r>
      <w:r w:rsidRPr="006D5190">
        <w:rPr>
          <w:rFonts w:ascii="Times New Roman" w:hAnsi="Times New Roman" w:cs="Times New Roman"/>
          <w:sz w:val="24"/>
        </w:rPr>
        <w:t xml:space="preserve"> provincial interests over the </w:t>
      </w:r>
      <w:r>
        <w:rPr>
          <w:rFonts w:ascii="Times New Roman" w:hAnsi="Times New Roman" w:cs="Times New Roman"/>
          <w:sz w:val="24"/>
        </w:rPr>
        <w:t>protection of Indigenous rights and</w:t>
      </w:r>
      <w:r w:rsidRPr="006D5190">
        <w:rPr>
          <w:rFonts w:ascii="Times New Roman" w:hAnsi="Times New Roman" w:cs="Times New Roman"/>
          <w:sz w:val="24"/>
        </w:rPr>
        <w:t xml:space="preserve"> </w:t>
      </w:r>
      <w:r>
        <w:rPr>
          <w:rFonts w:ascii="Times New Roman" w:hAnsi="Times New Roman" w:cs="Times New Roman"/>
          <w:sz w:val="24"/>
        </w:rPr>
        <w:t>abandoning</w:t>
      </w:r>
      <w:r w:rsidRPr="006D5190">
        <w:rPr>
          <w:rFonts w:ascii="Times New Roman" w:hAnsi="Times New Roman" w:cs="Times New Roman"/>
          <w:sz w:val="24"/>
        </w:rPr>
        <w:t xml:space="preserve"> expectations that </w:t>
      </w:r>
      <w:r w:rsidR="002B4063">
        <w:rPr>
          <w:rFonts w:ascii="Times New Roman" w:hAnsi="Times New Roman" w:cs="Times New Roman"/>
          <w:sz w:val="24"/>
        </w:rPr>
        <w:t>s 91</w:t>
      </w:r>
      <w:r w:rsidRPr="006D5190">
        <w:rPr>
          <w:rFonts w:ascii="Times New Roman" w:hAnsi="Times New Roman" w:cs="Times New Roman"/>
          <w:sz w:val="24"/>
        </w:rPr>
        <w:t>(24) would be used as a vehicle to advance treaty federalism and</w:t>
      </w:r>
      <w:r>
        <w:rPr>
          <w:rFonts w:ascii="Times New Roman" w:hAnsi="Times New Roman" w:cs="Times New Roman"/>
          <w:sz w:val="24"/>
        </w:rPr>
        <w:t xml:space="preserve"> reconciliation.</w:t>
      </w:r>
      <w:r>
        <w:rPr>
          <w:rStyle w:val="FootnoteReference"/>
          <w:rFonts w:ascii="Times New Roman" w:hAnsi="Times New Roman" w:cs="Times New Roman"/>
          <w:sz w:val="24"/>
        </w:rPr>
        <w:footnoteReference w:id="30"/>
      </w:r>
    </w:p>
    <w:p w14:paraId="38545C96" w14:textId="4B2E1EBD" w:rsidR="00B47858" w:rsidRDefault="00B47858" w:rsidP="00684B3E">
      <w:pPr>
        <w:jc w:val="both"/>
        <w:rPr>
          <w:rFonts w:ascii="Times New Roman" w:hAnsi="Times New Roman" w:cs="Times New Roman"/>
          <w:sz w:val="24"/>
        </w:rPr>
      </w:pPr>
    </w:p>
    <w:p w14:paraId="600EE9D4" w14:textId="1F22620D" w:rsidR="00B47858" w:rsidRPr="00E81304" w:rsidRDefault="00B47858" w:rsidP="00684B3E">
      <w:pPr>
        <w:pStyle w:val="ListParagraph"/>
        <w:numPr>
          <w:ilvl w:val="0"/>
          <w:numId w:val="1"/>
        </w:numPr>
        <w:ind w:left="0" w:firstLine="0"/>
        <w:jc w:val="both"/>
        <w:rPr>
          <w:rFonts w:ascii="Times New Roman" w:hAnsi="Times New Roman" w:cs="Times New Roman"/>
          <w:sz w:val="24"/>
        </w:rPr>
      </w:pPr>
      <w:r>
        <w:rPr>
          <w:rFonts w:ascii="Times New Roman" w:hAnsi="Times New Roman" w:cs="Times New Roman"/>
          <w:sz w:val="24"/>
        </w:rPr>
        <w:t>Cumulatively,</w:t>
      </w:r>
      <w:r w:rsidRPr="00E81304">
        <w:rPr>
          <w:rFonts w:ascii="Times New Roman" w:hAnsi="Times New Roman" w:cs="Times New Roman"/>
          <w:sz w:val="24"/>
        </w:rPr>
        <w:t xml:space="preserve"> these decisions </w:t>
      </w:r>
      <w:r>
        <w:rPr>
          <w:rFonts w:ascii="Times New Roman" w:hAnsi="Times New Roman" w:cs="Times New Roman"/>
          <w:sz w:val="24"/>
        </w:rPr>
        <w:t xml:space="preserve">conceive the Crown as having plenary power over Indigenous peoples and </w:t>
      </w:r>
      <w:r w:rsidRPr="00E81304">
        <w:rPr>
          <w:rFonts w:ascii="Times New Roman" w:hAnsi="Times New Roman" w:cs="Times New Roman"/>
          <w:sz w:val="24"/>
        </w:rPr>
        <w:t xml:space="preserve">give the provinces </w:t>
      </w:r>
      <w:r>
        <w:rPr>
          <w:rFonts w:ascii="Times New Roman" w:hAnsi="Times New Roman" w:cs="Times New Roman"/>
          <w:sz w:val="24"/>
        </w:rPr>
        <w:t xml:space="preserve">powers over Indigenous peoples that are essentially concurrent with </w:t>
      </w:r>
      <w:r w:rsidRPr="00E81304">
        <w:rPr>
          <w:rFonts w:ascii="Times New Roman" w:hAnsi="Times New Roman" w:cs="Times New Roman"/>
          <w:sz w:val="24"/>
        </w:rPr>
        <w:t xml:space="preserve">federal </w:t>
      </w:r>
      <w:r>
        <w:rPr>
          <w:rFonts w:ascii="Times New Roman" w:hAnsi="Times New Roman" w:cs="Times New Roman"/>
          <w:sz w:val="24"/>
        </w:rPr>
        <w:t>powers</w:t>
      </w:r>
      <w:r w:rsidRPr="00E81304">
        <w:rPr>
          <w:rFonts w:ascii="Times New Roman" w:hAnsi="Times New Roman" w:cs="Times New Roman"/>
          <w:sz w:val="24"/>
        </w:rPr>
        <w:t>.</w:t>
      </w:r>
    </w:p>
    <w:p w14:paraId="7E821963" w14:textId="190C233D" w:rsidR="00B47858" w:rsidRPr="009425AE" w:rsidRDefault="00B47858" w:rsidP="00684B3E">
      <w:pPr>
        <w:jc w:val="both"/>
        <w:rPr>
          <w:rFonts w:ascii="Times New Roman" w:hAnsi="Times New Roman" w:cs="Times New Roman"/>
          <w:sz w:val="24"/>
          <w:szCs w:val="24"/>
        </w:rPr>
      </w:pPr>
    </w:p>
    <w:p w14:paraId="3802C9A4" w14:textId="0F1CFBE6" w:rsidR="00B47858" w:rsidRPr="0091459D" w:rsidRDefault="00307F5D" w:rsidP="00307F5D">
      <w:pPr>
        <w:pStyle w:val="Heading2"/>
        <w:numPr>
          <w:ilvl w:val="0"/>
          <w:numId w:val="0"/>
        </w:numPr>
        <w:spacing w:after="200"/>
        <w:contextualSpacing w:val="0"/>
        <w:rPr>
          <w:b w:val="0"/>
          <w:bCs/>
        </w:rPr>
      </w:pPr>
      <w:r w:rsidRPr="0091459D">
        <w:rPr>
          <w:b w:val="0"/>
          <w:bCs/>
        </w:rPr>
        <w:t>B.</w:t>
      </w:r>
      <w:r w:rsidRPr="0091459D">
        <w:rPr>
          <w:b w:val="0"/>
          <w:bCs/>
        </w:rPr>
        <w:tab/>
      </w:r>
      <w:r w:rsidR="00B47858" w:rsidRPr="0091459D">
        <w:rPr>
          <w:b w:val="0"/>
          <w:bCs/>
        </w:rPr>
        <w:t xml:space="preserve">The </w:t>
      </w:r>
      <w:r w:rsidR="005C6452">
        <w:rPr>
          <w:b w:val="0"/>
          <w:bCs/>
        </w:rPr>
        <w:t>C</w:t>
      </w:r>
      <w:r w:rsidR="005C6452" w:rsidRPr="0091459D">
        <w:rPr>
          <w:b w:val="0"/>
          <w:bCs/>
        </w:rPr>
        <w:t xml:space="preserve">urrent </w:t>
      </w:r>
      <w:r w:rsidR="005C6452">
        <w:rPr>
          <w:b w:val="0"/>
          <w:bCs/>
        </w:rPr>
        <w:t>A</w:t>
      </w:r>
      <w:r w:rsidR="005C6452" w:rsidRPr="0091459D">
        <w:rPr>
          <w:b w:val="0"/>
          <w:bCs/>
        </w:rPr>
        <w:t xml:space="preserve">pproach </w:t>
      </w:r>
      <w:r w:rsidR="005C6452">
        <w:rPr>
          <w:b w:val="0"/>
          <w:bCs/>
        </w:rPr>
        <w:t>C</w:t>
      </w:r>
      <w:r w:rsidR="005C6452" w:rsidRPr="0091459D">
        <w:rPr>
          <w:b w:val="0"/>
          <w:bCs/>
        </w:rPr>
        <w:t xml:space="preserve">auses </w:t>
      </w:r>
      <w:r w:rsidR="005C6452">
        <w:rPr>
          <w:b w:val="0"/>
          <w:bCs/>
        </w:rPr>
        <w:t>H</w:t>
      </w:r>
      <w:r w:rsidR="005C6452" w:rsidRPr="0091459D">
        <w:rPr>
          <w:b w:val="0"/>
          <w:bCs/>
        </w:rPr>
        <w:t>arm</w:t>
      </w:r>
    </w:p>
    <w:p w14:paraId="151A26EA" w14:textId="1C81C0C5" w:rsidR="00307F5D" w:rsidRDefault="00B47858" w:rsidP="00684B3E">
      <w:pPr>
        <w:pStyle w:val="ListParagraph"/>
        <w:numPr>
          <w:ilvl w:val="0"/>
          <w:numId w:val="1"/>
        </w:numPr>
        <w:ind w:left="0" w:firstLine="0"/>
        <w:jc w:val="both"/>
        <w:rPr>
          <w:rFonts w:ascii="Times New Roman" w:hAnsi="Times New Roman" w:cs="Times New Roman"/>
          <w:sz w:val="24"/>
          <w:szCs w:val="24"/>
        </w:rPr>
      </w:pPr>
      <w:r w:rsidRPr="00260490">
        <w:rPr>
          <w:rFonts w:ascii="Times New Roman" w:hAnsi="Times New Roman" w:cs="Times New Roman"/>
          <w:sz w:val="24"/>
          <w:szCs w:val="24"/>
        </w:rPr>
        <w:t xml:space="preserve">What we wish to emphasize in this section is </w:t>
      </w:r>
      <w:r>
        <w:rPr>
          <w:rFonts w:ascii="Times New Roman" w:hAnsi="Times New Roman" w:cs="Times New Roman"/>
          <w:sz w:val="24"/>
          <w:szCs w:val="24"/>
        </w:rPr>
        <w:t xml:space="preserve">both </w:t>
      </w:r>
      <w:r w:rsidRPr="00260490">
        <w:rPr>
          <w:rFonts w:ascii="Times New Roman" w:hAnsi="Times New Roman" w:cs="Times New Roman"/>
          <w:sz w:val="24"/>
          <w:szCs w:val="24"/>
        </w:rPr>
        <w:t xml:space="preserve">the damage that has been done to Indigenous peoples by the courts’ approach to </w:t>
      </w:r>
      <w:r w:rsidR="002B4063">
        <w:rPr>
          <w:rFonts w:ascii="Times New Roman" w:hAnsi="Times New Roman" w:cs="Times New Roman"/>
          <w:sz w:val="24"/>
          <w:szCs w:val="24"/>
        </w:rPr>
        <w:t>s 91</w:t>
      </w:r>
      <w:r w:rsidRPr="00260490">
        <w:rPr>
          <w:rFonts w:ascii="Times New Roman" w:hAnsi="Times New Roman" w:cs="Times New Roman"/>
          <w:sz w:val="24"/>
          <w:szCs w:val="24"/>
        </w:rPr>
        <w:t xml:space="preserve">(24) in general, as well as specific harms this has caused in both the areas of child welfare and labour relations.  </w:t>
      </w:r>
      <w:r w:rsidR="00F318EA">
        <w:rPr>
          <w:rFonts w:ascii="Times New Roman" w:hAnsi="Times New Roman" w:cs="Times New Roman"/>
          <w:sz w:val="24"/>
          <w:szCs w:val="24"/>
        </w:rPr>
        <w:t xml:space="preserve">In </w:t>
      </w:r>
      <w:r w:rsidR="00F318EA">
        <w:rPr>
          <w:rFonts w:ascii="Times New Roman" w:hAnsi="Times New Roman" w:cs="Times New Roman"/>
          <w:i/>
          <w:iCs/>
          <w:sz w:val="24"/>
          <w:szCs w:val="24"/>
        </w:rPr>
        <w:t xml:space="preserve">Racine v </w:t>
      </w:r>
      <w:r w:rsidR="00F318EA" w:rsidRPr="00C02D0B">
        <w:rPr>
          <w:rFonts w:ascii="Times New Roman" w:hAnsi="Times New Roman" w:cs="Times New Roman"/>
          <w:i/>
          <w:iCs/>
          <w:sz w:val="24"/>
          <w:szCs w:val="24"/>
        </w:rPr>
        <w:t>Woods</w:t>
      </w:r>
      <w:r w:rsidR="00F318EA">
        <w:rPr>
          <w:rFonts w:ascii="Times New Roman" w:hAnsi="Times New Roman" w:cs="Times New Roman"/>
          <w:sz w:val="24"/>
          <w:szCs w:val="24"/>
        </w:rPr>
        <w:t>, Justice Friedland rejects and interpretation of principle of ‘best interest of the child’ that would perpetuate harm to Indigenous children.</w:t>
      </w:r>
      <w:r w:rsidR="005A6E18">
        <w:rPr>
          <w:rStyle w:val="FootnoteReference"/>
          <w:rFonts w:ascii="Times New Roman" w:hAnsi="Times New Roman" w:cs="Times New Roman"/>
          <w:sz w:val="24"/>
          <w:szCs w:val="24"/>
        </w:rPr>
        <w:footnoteReference w:id="31"/>
      </w:r>
      <w:r w:rsidR="00F318EA">
        <w:rPr>
          <w:rFonts w:ascii="Times New Roman" w:hAnsi="Times New Roman" w:cs="Times New Roman"/>
          <w:sz w:val="24"/>
          <w:szCs w:val="24"/>
        </w:rPr>
        <w:t xml:space="preserve">  Similarly, w</w:t>
      </w:r>
      <w:r w:rsidR="00F318EA" w:rsidRPr="00C02D0B">
        <w:rPr>
          <w:rFonts w:ascii="Times New Roman" w:hAnsi="Times New Roman" w:cs="Times New Roman"/>
          <w:sz w:val="24"/>
          <w:szCs w:val="24"/>
        </w:rPr>
        <w:t>e</w:t>
      </w:r>
      <w:r>
        <w:rPr>
          <w:rFonts w:ascii="Times New Roman" w:hAnsi="Times New Roman" w:cs="Times New Roman"/>
          <w:sz w:val="24"/>
          <w:szCs w:val="24"/>
        </w:rPr>
        <w:t xml:space="preserve">e believe that </w:t>
      </w:r>
      <w:r w:rsidRPr="003E1B68">
        <w:rPr>
          <w:rFonts w:ascii="Times New Roman" w:hAnsi="Times New Roman" w:cs="Times New Roman"/>
          <w:sz w:val="24"/>
          <w:szCs w:val="24"/>
        </w:rPr>
        <w:t xml:space="preserve">courts must be attentive to situations where their interpretation of the Constitution is causing Indigenous peoples harm.  </w:t>
      </w:r>
      <w:r>
        <w:rPr>
          <w:rFonts w:ascii="Times New Roman" w:hAnsi="Times New Roman" w:cs="Times New Roman"/>
          <w:sz w:val="24"/>
          <w:szCs w:val="24"/>
        </w:rPr>
        <w:t xml:space="preserve">Addressing harm is central to reconciliation.  </w:t>
      </w:r>
      <w:r w:rsidRPr="00513668">
        <w:rPr>
          <w:rFonts w:ascii="Times New Roman" w:hAnsi="Times New Roman" w:cs="Times New Roman"/>
          <w:sz w:val="24"/>
          <w:szCs w:val="24"/>
        </w:rPr>
        <w:t>The TRC defined reconciliation as “establishing and maintaining a mutually respectful relationship between Aboriginal and non-Aboriginal peoples in this country.”</w:t>
      </w:r>
      <w:r>
        <w:rPr>
          <w:rStyle w:val="FootnoteReference"/>
          <w:rFonts w:ascii="Times New Roman" w:hAnsi="Times New Roman" w:cs="Times New Roman"/>
          <w:sz w:val="24"/>
          <w:szCs w:val="24"/>
        </w:rPr>
        <w:footnoteReference w:id="32"/>
      </w:r>
      <w:r w:rsidRPr="00513668">
        <w:rPr>
          <w:rFonts w:ascii="Times New Roman" w:hAnsi="Times New Roman" w:cs="Times New Roman"/>
          <w:sz w:val="24"/>
          <w:szCs w:val="24"/>
        </w:rPr>
        <w:t xml:space="preserve">  The TRC said this requires “awareness of the past, acknowledgement of the </w:t>
      </w:r>
      <w:r w:rsidRPr="00513668">
        <w:rPr>
          <w:rFonts w:ascii="Times New Roman" w:hAnsi="Times New Roman" w:cs="Times New Roman"/>
          <w:sz w:val="24"/>
          <w:szCs w:val="24"/>
          <w:u w:val="single"/>
        </w:rPr>
        <w:t>harm</w:t>
      </w:r>
      <w:r w:rsidRPr="00513668">
        <w:rPr>
          <w:rFonts w:ascii="Times New Roman" w:hAnsi="Times New Roman" w:cs="Times New Roman"/>
          <w:sz w:val="24"/>
          <w:szCs w:val="24"/>
        </w:rPr>
        <w:t xml:space="preserve"> that has been inflicted, atonement for the causes, and action to change behaviour.”</w:t>
      </w:r>
      <w:r>
        <w:rPr>
          <w:rStyle w:val="FootnoteReference"/>
          <w:rFonts w:ascii="Times New Roman" w:hAnsi="Times New Roman" w:cs="Times New Roman"/>
          <w:sz w:val="24"/>
          <w:szCs w:val="24"/>
        </w:rPr>
        <w:footnoteReference w:id="33"/>
      </w:r>
      <w:r w:rsidRPr="00513668">
        <w:rPr>
          <w:rFonts w:ascii="Times New Roman" w:hAnsi="Times New Roman" w:cs="Times New Roman"/>
          <w:sz w:val="24"/>
          <w:szCs w:val="24"/>
        </w:rPr>
        <w:t xml:space="preserve">  Canadian courts have acknowledged </w:t>
      </w:r>
      <w:r w:rsidR="00984A72">
        <w:rPr>
          <w:rFonts w:ascii="Times New Roman" w:hAnsi="Times New Roman" w:cs="Times New Roman"/>
          <w:sz w:val="24"/>
          <w:szCs w:val="24"/>
        </w:rPr>
        <w:t xml:space="preserve">that </w:t>
      </w:r>
      <w:r w:rsidRPr="00513668">
        <w:rPr>
          <w:rFonts w:ascii="Times New Roman" w:hAnsi="Times New Roman" w:cs="Times New Roman"/>
          <w:sz w:val="24"/>
          <w:szCs w:val="24"/>
        </w:rPr>
        <w:t xml:space="preserve">reconciliation with Indigenous peoples is a priority of </w:t>
      </w:r>
      <w:r w:rsidR="009B5C58">
        <w:rPr>
          <w:rFonts w:ascii="Times New Roman" w:hAnsi="Times New Roman" w:cs="Times New Roman"/>
          <w:sz w:val="24"/>
          <w:szCs w:val="24"/>
        </w:rPr>
        <w:t>c</w:t>
      </w:r>
      <w:r w:rsidRPr="00513668">
        <w:rPr>
          <w:rFonts w:ascii="Times New Roman" w:hAnsi="Times New Roman" w:cs="Times New Roman"/>
          <w:sz w:val="24"/>
          <w:szCs w:val="24"/>
        </w:rPr>
        <w:t>onstitutional law.</w:t>
      </w:r>
      <w:r>
        <w:rPr>
          <w:rStyle w:val="FootnoteReference"/>
          <w:rFonts w:ascii="Times New Roman" w:hAnsi="Times New Roman" w:cs="Times New Roman"/>
          <w:sz w:val="24"/>
          <w:szCs w:val="24"/>
        </w:rPr>
        <w:footnoteReference w:id="34"/>
      </w:r>
      <w:r w:rsidRPr="00513668">
        <w:rPr>
          <w:rFonts w:ascii="Times New Roman" w:hAnsi="Times New Roman" w:cs="Times New Roman"/>
          <w:sz w:val="24"/>
          <w:szCs w:val="24"/>
        </w:rPr>
        <w:t xml:space="preserve"> </w:t>
      </w:r>
    </w:p>
    <w:p w14:paraId="62FA7DD5" w14:textId="5B45855D" w:rsidR="00B47858" w:rsidRPr="00C343F4" w:rsidRDefault="00B47858" w:rsidP="00307F5D">
      <w:pPr>
        <w:pStyle w:val="ListParagraph"/>
        <w:ind w:left="0"/>
        <w:jc w:val="both"/>
        <w:rPr>
          <w:rFonts w:ascii="Times New Roman" w:hAnsi="Times New Roman" w:cs="Times New Roman"/>
          <w:sz w:val="24"/>
          <w:szCs w:val="24"/>
        </w:rPr>
      </w:pPr>
      <w:r w:rsidRPr="00513668">
        <w:rPr>
          <w:rFonts w:ascii="Times New Roman" w:hAnsi="Times New Roman" w:cs="Times New Roman"/>
          <w:sz w:val="24"/>
          <w:szCs w:val="24"/>
        </w:rPr>
        <w:t xml:space="preserve"> </w:t>
      </w:r>
    </w:p>
    <w:p w14:paraId="65CEB673" w14:textId="3E0FC338" w:rsidR="00B47858" w:rsidRPr="00307F5D" w:rsidRDefault="00B47858" w:rsidP="00307F5D">
      <w:pPr>
        <w:pStyle w:val="Heading3"/>
        <w:numPr>
          <w:ilvl w:val="0"/>
          <w:numId w:val="13"/>
        </w:numPr>
        <w:spacing w:after="200"/>
        <w:ind w:left="1134" w:hanging="425"/>
        <w:contextualSpacing w:val="0"/>
        <w:rPr>
          <w:b w:val="0"/>
          <w:bCs/>
          <w:i w:val="0"/>
          <w:iCs/>
        </w:rPr>
      </w:pPr>
      <w:r w:rsidRPr="00307F5D">
        <w:rPr>
          <w:b w:val="0"/>
          <w:bCs/>
          <w:i w:val="0"/>
          <w:iCs/>
        </w:rPr>
        <w:t xml:space="preserve">Harms </w:t>
      </w:r>
      <w:r w:rsidR="005C6452">
        <w:rPr>
          <w:b w:val="0"/>
          <w:bCs/>
          <w:i w:val="0"/>
          <w:iCs/>
        </w:rPr>
        <w:t>C</w:t>
      </w:r>
      <w:r w:rsidR="005C6452" w:rsidRPr="00307F5D">
        <w:rPr>
          <w:b w:val="0"/>
          <w:bCs/>
          <w:i w:val="0"/>
          <w:iCs/>
        </w:rPr>
        <w:t xml:space="preserve">aused </w:t>
      </w:r>
      <w:r w:rsidRPr="00307F5D">
        <w:rPr>
          <w:b w:val="0"/>
          <w:bCs/>
          <w:i w:val="0"/>
          <w:iCs/>
        </w:rPr>
        <w:t xml:space="preserve">by </w:t>
      </w:r>
      <w:r w:rsidR="005C6452">
        <w:rPr>
          <w:b w:val="0"/>
          <w:bCs/>
          <w:i w:val="0"/>
          <w:iCs/>
        </w:rPr>
        <w:t>F</w:t>
      </w:r>
      <w:r w:rsidR="005C6452" w:rsidRPr="00307F5D">
        <w:rPr>
          <w:b w:val="0"/>
          <w:bCs/>
          <w:i w:val="0"/>
          <w:iCs/>
        </w:rPr>
        <w:t xml:space="preserve">ederal </w:t>
      </w:r>
      <w:r w:rsidR="005C6452">
        <w:rPr>
          <w:b w:val="0"/>
          <w:bCs/>
          <w:i w:val="0"/>
          <w:iCs/>
        </w:rPr>
        <w:t>C</w:t>
      </w:r>
      <w:r w:rsidR="005C6452" w:rsidRPr="00307F5D">
        <w:rPr>
          <w:b w:val="0"/>
          <w:bCs/>
          <w:i w:val="0"/>
          <w:iCs/>
        </w:rPr>
        <w:t>ontrol</w:t>
      </w:r>
    </w:p>
    <w:p w14:paraId="24244C0D" w14:textId="2D9E757F"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260490">
        <w:rPr>
          <w:rFonts w:ascii="Times New Roman" w:hAnsi="Times New Roman" w:cs="Times New Roman"/>
          <w:sz w:val="24"/>
          <w:szCs w:val="24"/>
        </w:rPr>
        <w:lastRenderedPageBreak/>
        <w:t xml:space="preserve">The harmful </w:t>
      </w:r>
      <w:r>
        <w:rPr>
          <w:rFonts w:ascii="Times New Roman" w:hAnsi="Times New Roman" w:cs="Times New Roman"/>
          <w:sz w:val="24"/>
          <w:szCs w:val="24"/>
        </w:rPr>
        <w:t>impacts</w:t>
      </w:r>
      <w:r w:rsidRPr="00260490">
        <w:rPr>
          <w:rFonts w:ascii="Times New Roman" w:hAnsi="Times New Roman" w:cs="Times New Roman"/>
          <w:sz w:val="24"/>
          <w:szCs w:val="24"/>
        </w:rPr>
        <w:t xml:space="preserve"> of </w:t>
      </w:r>
      <w:r>
        <w:rPr>
          <w:rFonts w:ascii="Times New Roman" w:hAnsi="Times New Roman" w:cs="Times New Roman"/>
          <w:sz w:val="24"/>
          <w:szCs w:val="24"/>
        </w:rPr>
        <w:t xml:space="preserve">interpreting </w:t>
      </w:r>
      <w:r w:rsidR="002B4063">
        <w:rPr>
          <w:rFonts w:ascii="Times New Roman" w:hAnsi="Times New Roman" w:cs="Times New Roman"/>
          <w:sz w:val="24"/>
          <w:szCs w:val="24"/>
        </w:rPr>
        <w:t>s 91</w:t>
      </w:r>
      <w:r w:rsidRPr="00260490">
        <w:rPr>
          <w:rFonts w:ascii="Times New Roman" w:hAnsi="Times New Roman" w:cs="Times New Roman"/>
          <w:sz w:val="24"/>
          <w:szCs w:val="24"/>
        </w:rPr>
        <w:t xml:space="preserve">(24) as giving the federal government nearly unlimited powers </w:t>
      </w:r>
      <w:r>
        <w:rPr>
          <w:rFonts w:ascii="Times New Roman" w:hAnsi="Times New Roman" w:cs="Times New Roman"/>
          <w:sz w:val="24"/>
          <w:szCs w:val="24"/>
        </w:rPr>
        <w:t>over Indigenous peoples and their lands have been revealed through several recent commissions of inquiry, including the TRC.</w:t>
      </w:r>
      <w:r>
        <w:rPr>
          <w:rStyle w:val="FootnoteReference"/>
          <w:rFonts w:ascii="Times New Roman" w:hAnsi="Times New Roman" w:cs="Times New Roman"/>
          <w:sz w:val="24"/>
          <w:szCs w:val="24"/>
        </w:rPr>
        <w:footnoteReference w:id="35"/>
      </w:r>
      <w:r w:rsidRPr="00260490">
        <w:rPr>
          <w:rFonts w:ascii="Times New Roman" w:hAnsi="Times New Roman" w:cs="Times New Roman"/>
          <w:sz w:val="24"/>
          <w:szCs w:val="24"/>
        </w:rPr>
        <w:t xml:space="preserve">  Pursuant to such an interpretation, the federal government passed the </w:t>
      </w:r>
      <w:r w:rsidRPr="00260490">
        <w:rPr>
          <w:rFonts w:ascii="Times New Roman" w:hAnsi="Times New Roman" w:cs="Times New Roman"/>
          <w:i/>
          <w:sz w:val="24"/>
          <w:szCs w:val="24"/>
        </w:rPr>
        <w:t>Indian Act</w:t>
      </w:r>
      <w:r w:rsidRPr="00260490">
        <w:rPr>
          <w:rFonts w:ascii="Times New Roman" w:hAnsi="Times New Roman" w:cs="Times New Roman"/>
          <w:sz w:val="24"/>
          <w:szCs w:val="24"/>
        </w:rPr>
        <w:t xml:space="preserve"> and a number of related policies aimed at attempting to assimilate First Nations, the most notorious among these being the Indian Residential Schools (IRS) system. </w:t>
      </w:r>
      <w:r>
        <w:rPr>
          <w:rFonts w:ascii="Times New Roman" w:hAnsi="Times New Roman" w:cs="Times New Roman"/>
          <w:sz w:val="24"/>
          <w:szCs w:val="24"/>
        </w:rPr>
        <w:t xml:space="preserve"> Provisions in the </w:t>
      </w:r>
      <w:r>
        <w:rPr>
          <w:rFonts w:ascii="Times New Roman" w:hAnsi="Times New Roman" w:cs="Times New Roman"/>
          <w:i/>
          <w:sz w:val="24"/>
          <w:szCs w:val="24"/>
        </w:rPr>
        <w:t>Indian Act</w:t>
      </w:r>
      <w:r>
        <w:rPr>
          <w:rFonts w:ascii="Times New Roman" w:hAnsi="Times New Roman" w:cs="Times New Roman"/>
          <w:sz w:val="24"/>
          <w:szCs w:val="24"/>
        </w:rPr>
        <w:t xml:space="preserve"> sanctioned the operation of these schools and the forced attendance of Indigenous children (these were not formally repealed until 2014!).</w:t>
      </w:r>
      <w:r>
        <w:rPr>
          <w:rStyle w:val="FootnoteReference"/>
          <w:rFonts w:ascii="Times New Roman" w:hAnsi="Times New Roman" w:cs="Times New Roman"/>
          <w:sz w:val="24"/>
          <w:szCs w:val="24"/>
        </w:rPr>
        <w:footnoteReference w:id="36"/>
      </w:r>
      <w:r w:rsidRPr="00260490">
        <w:rPr>
          <w:rFonts w:ascii="Times New Roman" w:hAnsi="Times New Roman" w:cs="Times New Roman"/>
          <w:sz w:val="24"/>
          <w:szCs w:val="24"/>
        </w:rPr>
        <w:t xml:space="preserve"> Other examples include displacement from traditional homelands, placement on reserve</w:t>
      </w:r>
      <w:r>
        <w:rPr>
          <w:rFonts w:ascii="Times New Roman" w:hAnsi="Times New Roman" w:cs="Times New Roman"/>
          <w:sz w:val="24"/>
          <w:szCs w:val="24"/>
        </w:rPr>
        <w:t>s</w:t>
      </w:r>
      <w:r w:rsidRPr="00260490">
        <w:rPr>
          <w:rFonts w:ascii="Times New Roman" w:hAnsi="Times New Roman" w:cs="Times New Roman"/>
          <w:sz w:val="24"/>
          <w:szCs w:val="24"/>
        </w:rPr>
        <w:t>, relocation</w:t>
      </w:r>
      <w:r>
        <w:rPr>
          <w:rFonts w:ascii="Times New Roman" w:hAnsi="Times New Roman" w:cs="Times New Roman"/>
          <w:sz w:val="24"/>
          <w:szCs w:val="24"/>
        </w:rPr>
        <w:t xml:space="preserve">s </w:t>
      </w:r>
      <w:r w:rsidRPr="00260490">
        <w:rPr>
          <w:rFonts w:ascii="Times New Roman" w:hAnsi="Times New Roman" w:cs="Times New Roman"/>
          <w:sz w:val="24"/>
          <w:szCs w:val="24"/>
        </w:rPr>
        <w:t xml:space="preserve">and centralization, bans on cultural and spiritual practices, replacement of traditional forms of governance, </w:t>
      </w:r>
      <w:r>
        <w:rPr>
          <w:rFonts w:ascii="Times New Roman" w:hAnsi="Times New Roman" w:cs="Times New Roman"/>
          <w:sz w:val="24"/>
          <w:szCs w:val="24"/>
        </w:rPr>
        <w:t xml:space="preserve">loss of language and culture and various abuses experienced by students at </w:t>
      </w:r>
      <w:r w:rsidRPr="00260490">
        <w:rPr>
          <w:rFonts w:ascii="Times New Roman" w:hAnsi="Times New Roman" w:cs="Times New Roman"/>
          <w:sz w:val="24"/>
          <w:szCs w:val="24"/>
        </w:rPr>
        <w:t>Indian Day Schools, enfranchisement provisions that robbed thousands of</w:t>
      </w:r>
      <w:r>
        <w:rPr>
          <w:rFonts w:ascii="Times New Roman" w:hAnsi="Times New Roman" w:cs="Times New Roman"/>
          <w:sz w:val="24"/>
          <w:szCs w:val="24"/>
        </w:rPr>
        <w:t xml:space="preserve"> people of their</w:t>
      </w:r>
      <w:r w:rsidRPr="00260490">
        <w:rPr>
          <w:rFonts w:ascii="Times New Roman" w:hAnsi="Times New Roman" w:cs="Times New Roman"/>
          <w:sz w:val="24"/>
          <w:szCs w:val="24"/>
        </w:rPr>
        <w:t xml:space="preserve"> Indian status, restrictions on obtaining legal representation, and restrictions on the sale </w:t>
      </w:r>
      <w:r>
        <w:rPr>
          <w:rFonts w:ascii="Times New Roman" w:hAnsi="Times New Roman" w:cs="Times New Roman"/>
          <w:sz w:val="24"/>
          <w:szCs w:val="24"/>
        </w:rPr>
        <w:t xml:space="preserve">and </w:t>
      </w:r>
      <w:r w:rsidRPr="00260490">
        <w:rPr>
          <w:rFonts w:ascii="Times New Roman" w:hAnsi="Times New Roman" w:cs="Times New Roman"/>
          <w:sz w:val="24"/>
          <w:szCs w:val="24"/>
        </w:rPr>
        <w:t>trade of the harvest from farming and hunting, to name a few.</w:t>
      </w:r>
    </w:p>
    <w:p w14:paraId="4A081A06" w14:textId="39BD098D" w:rsidR="00B47858" w:rsidRDefault="00B47858" w:rsidP="00684B3E">
      <w:pPr>
        <w:pStyle w:val="ListParagraph"/>
        <w:tabs>
          <w:tab w:val="left" w:pos="1168"/>
        </w:tabs>
        <w:ind w:left="0"/>
        <w:jc w:val="both"/>
        <w:rPr>
          <w:rFonts w:ascii="Times New Roman" w:hAnsi="Times New Roman" w:cs="Times New Roman"/>
          <w:sz w:val="24"/>
          <w:szCs w:val="24"/>
        </w:rPr>
      </w:pPr>
      <w:r w:rsidRPr="00260490">
        <w:rPr>
          <w:rFonts w:ascii="Times New Roman" w:hAnsi="Times New Roman" w:cs="Times New Roman"/>
          <w:sz w:val="24"/>
          <w:szCs w:val="24"/>
        </w:rPr>
        <w:t xml:space="preserve"> </w:t>
      </w:r>
    </w:p>
    <w:p w14:paraId="7E854D82" w14:textId="200606EC"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AF6308">
        <w:rPr>
          <w:rFonts w:ascii="Times New Roman" w:hAnsi="Times New Roman" w:cs="Times New Roman"/>
          <w:sz w:val="24"/>
          <w:szCs w:val="24"/>
        </w:rPr>
        <w:t xml:space="preserve">The harms from the IRS system, chronicled </w:t>
      </w:r>
      <w:r>
        <w:rPr>
          <w:rFonts w:ascii="Times New Roman" w:hAnsi="Times New Roman" w:cs="Times New Roman"/>
          <w:sz w:val="24"/>
          <w:szCs w:val="24"/>
        </w:rPr>
        <w:t xml:space="preserve">by </w:t>
      </w:r>
      <w:r w:rsidRPr="00AF6308">
        <w:rPr>
          <w:rFonts w:ascii="Times New Roman" w:hAnsi="Times New Roman" w:cs="Times New Roman"/>
          <w:sz w:val="24"/>
          <w:szCs w:val="24"/>
        </w:rPr>
        <w:t>the TRC, include physical, emotional</w:t>
      </w:r>
      <w:r>
        <w:rPr>
          <w:rFonts w:ascii="Times New Roman" w:hAnsi="Times New Roman" w:cs="Times New Roman"/>
          <w:sz w:val="24"/>
          <w:szCs w:val="24"/>
        </w:rPr>
        <w:t>,</w:t>
      </w:r>
      <w:r w:rsidRPr="00AF6308">
        <w:rPr>
          <w:rFonts w:ascii="Times New Roman" w:hAnsi="Times New Roman" w:cs="Times New Roman"/>
          <w:sz w:val="24"/>
          <w:szCs w:val="24"/>
        </w:rPr>
        <w:t xml:space="preserve"> and sexual abuse of individual students</w:t>
      </w:r>
      <w:r>
        <w:rPr>
          <w:rFonts w:ascii="Times New Roman" w:hAnsi="Times New Roman" w:cs="Times New Roman"/>
          <w:sz w:val="24"/>
          <w:szCs w:val="24"/>
        </w:rPr>
        <w:t>;</w:t>
      </w:r>
      <w:r w:rsidRPr="00AF6308">
        <w:rPr>
          <w:rFonts w:ascii="Times New Roman" w:hAnsi="Times New Roman" w:cs="Times New Roman"/>
          <w:sz w:val="24"/>
          <w:szCs w:val="24"/>
        </w:rPr>
        <w:t xml:space="preserve"> loss of language, culture, traditions, and laws</w:t>
      </w:r>
      <w:r>
        <w:rPr>
          <w:rFonts w:ascii="Times New Roman" w:hAnsi="Times New Roman" w:cs="Times New Roman"/>
          <w:sz w:val="24"/>
          <w:szCs w:val="24"/>
        </w:rPr>
        <w:t>;</w:t>
      </w:r>
      <w:r w:rsidRPr="00AF6308">
        <w:rPr>
          <w:rFonts w:ascii="Times New Roman" w:hAnsi="Times New Roman" w:cs="Times New Roman"/>
          <w:sz w:val="24"/>
          <w:szCs w:val="24"/>
        </w:rPr>
        <w:t xml:space="preserve"> loss of pride and self-respect </w:t>
      </w:r>
      <w:r>
        <w:rPr>
          <w:rFonts w:ascii="Times New Roman" w:hAnsi="Times New Roman" w:cs="Times New Roman"/>
          <w:sz w:val="24"/>
          <w:szCs w:val="24"/>
        </w:rPr>
        <w:t xml:space="preserve">by Indigenous </w:t>
      </w:r>
      <w:r w:rsidRPr="00AF6308">
        <w:rPr>
          <w:rFonts w:ascii="Times New Roman" w:hAnsi="Times New Roman" w:cs="Times New Roman"/>
          <w:sz w:val="24"/>
          <w:szCs w:val="24"/>
        </w:rPr>
        <w:t>people</w:t>
      </w:r>
      <w:r>
        <w:rPr>
          <w:rFonts w:ascii="Times New Roman" w:hAnsi="Times New Roman" w:cs="Times New Roman"/>
          <w:sz w:val="24"/>
          <w:szCs w:val="24"/>
        </w:rPr>
        <w:t>s;</w:t>
      </w:r>
      <w:r w:rsidRPr="00AF6308">
        <w:rPr>
          <w:rFonts w:ascii="Times New Roman" w:hAnsi="Times New Roman" w:cs="Times New Roman"/>
          <w:sz w:val="24"/>
          <w:szCs w:val="24"/>
        </w:rPr>
        <w:t xml:space="preserve"> </w:t>
      </w:r>
      <w:r>
        <w:rPr>
          <w:rFonts w:ascii="Times New Roman" w:hAnsi="Times New Roman" w:cs="Times New Roman"/>
          <w:sz w:val="24"/>
          <w:szCs w:val="24"/>
        </w:rPr>
        <w:t>stereotyping and prejudice by non-Indigenous Canadians;</w:t>
      </w:r>
      <w:r w:rsidRPr="00AF630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F6308">
        <w:rPr>
          <w:rFonts w:ascii="Times New Roman" w:hAnsi="Times New Roman" w:cs="Times New Roman"/>
          <w:sz w:val="24"/>
          <w:szCs w:val="24"/>
        </w:rPr>
        <w:t>long-lasting intergenerational impacts on families, languages, education</w:t>
      </w:r>
      <w:r>
        <w:rPr>
          <w:rFonts w:ascii="Times New Roman" w:hAnsi="Times New Roman" w:cs="Times New Roman"/>
          <w:sz w:val="24"/>
          <w:szCs w:val="24"/>
        </w:rPr>
        <w:t>,</w:t>
      </w:r>
      <w:r w:rsidRPr="00AF6308">
        <w:rPr>
          <w:rFonts w:ascii="Times New Roman" w:hAnsi="Times New Roman" w:cs="Times New Roman"/>
          <w:sz w:val="24"/>
          <w:szCs w:val="24"/>
        </w:rPr>
        <w:t xml:space="preserve"> and health.</w:t>
      </w:r>
      <w:r>
        <w:rPr>
          <w:rStyle w:val="FootnoteReference"/>
          <w:rFonts w:ascii="Times New Roman" w:hAnsi="Times New Roman" w:cs="Times New Roman"/>
          <w:sz w:val="24"/>
          <w:szCs w:val="24"/>
        </w:rPr>
        <w:footnoteReference w:id="37"/>
      </w:r>
      <w:r w:rsidRPr="00AF6308">
        <w:rPr>
          <w:rFonts w:ascii="Times New Roman" w:hAnsi="Times New Roman" w:cs="Times New Roman"/>
          <w:sz w:val="24"/>
          <w:szCs w:val="24"/>
        </w:rPr>
        <w:t xml:space="preserve">  The harmful impacts of Canada’s other assimilative policies </w:t>
      </w:r>
      <w:r>
        <w:rPr>
          <w:rFonts w:ascii="Times New Roman" w:hAnsi="Times New Roman" w:cs="Times New Roman"/>
          <w:sz w:val="24"/>
          <w:szCs w:val="24"/>
        </w:rPr>
        <w:t xml:space="preserve">have had </w:t>
      </w:r>
      <w:r w:rsidRPr="00AF6308">
        <w:rPr>
          <w:rFonts w:ascii="Times New Roman" w:hAnsi="Times New Roman" w:cs="Times New Roman"/>
          <w:sz w:val="24"/>
          <w:szCs w:val="24"/>
        </w:rPr>
        <w:t>similar effect</w:t>
      </w:r>
      <w:r>
        <w:rPr>
          <w:rFonts w:ascii="Times New Roman" w:hAnsi="Times New Roman" w:cs="Times New Roman"/>
          <w:sz w:val="24"/>
          <w:szCs w:val="24"/>
        </w:rPr>
        <w:t>s</w:t>
      </w:r>
      <w:r w:rsidRPr="00AF6308">
        <w:rPr>
          <w:rFonts w:ascii="Times New Roman" w:hAnsi="Times New Roman" w:cs="Times New Roman"/>
          <w:sz w:val="24"/>
          <w:szCs w:val="24"/>
        </w:rPr>
        <w:t xml:space="preserve">. </w:t>
      </w:r>
    </w:p>
    <w:p w14:paraId="2DB8BD92" w14:textId="77777777" w:rsidR="00B47858" w:rsidRPr="00AF6308" w:rsidRDefault="00B47858" w:rsidP="00684B3E">
      <w:pPr>
        <w:pStyle w:val="ListParagraph"/>
        <w:rPr>
          <w:rFonts w:ascii="Times New Roman" w:hAnsi="Times New Roman" w:cs="Times New Roman"/>
          <w:sz w:val="24"/>
          <w:szCs w:val="24"/>
        </w:rPr>
      </w:pPr>
    </w:p>
    <w:p w14:paraId="551B1E5B" w14:textId="2E61BC2D" w:rsidR="00B47858" w:rsidRPr="00AF6308" w:rsidRDefault="00F30DE1"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Although</w:t>
      </w:r>
      <w:r w:rsidR="00B47858" w:rsidRPr="00AF6308">
        <w:rPr>
          <w:rFonts w:ascii="Times New Roman" w:hAnsi="Times New Roman" w:cs="Times New Roman"/>
          <w:sz w:val="24"/>
          <w:szCs w:val="24"/>
        </w:rPr>
        <w:t xml:space="preserve"> the federal government passed the </w:t>
      </w:r>
      <w:r w:rsidR="00B47858" w:rsidRPr="00AF6308">
        <w:rPr>
          <w:rFonts w:ascii="Times New Roman" w:hAnsi="Times New Roman" w:cs="Times New Roman"/>
          <w:i/>
          <w:sz w:val="24"/>
          <w:szCs w:val="24"/>
        </w:rPr>
        <w:t>Indian Act</w:t>
      </w:r>
      <w:r w:rsidR="00B47858" w:rsidRPr="00AF6308">
        <w:rPr>
          <w:rFonts w:ascii="Times New Roman" w:hAnsi="Times New Roman" w:cs="Times New Roman"/>
          <w:sz w:val="24"/>
          <w:szCs w:val="24"/>
        </w:rPr>
        <w:t xml:space="preserve"> in 1876 and was already implementing it by the time of the Privy Council’s decision in </w:t>
      </w:r>
      <w:r w:rsidR="00B47858" w:rsidRPr="00AF6308">
        <w:rPr>
          <w:rFonts w:ascii="Times New Roman" w:hAnsi="Times New Roman" w:cs="Times New Roman"/>
          <w:i/>
          <w:sz w:val="24"/>
          <w:szCs w:val="24"/>
        </w:rPr>
        <w:t>St. Catherine’s Milling</w:t>
      </w:r>
      <w:r>
        <w:rPr>
          <w:rFonts w:ascii="Times New Roman" w:hAnsi="Times New Roman" w:cs="Times New Roman"/>
          <w:i/>
          <w:sz w:val="24"/>
          <w:szCs w:val="24"/>
        </w:rPr>
        <w:t xml:space="preserve"> </w:t>
      </w:r>
      <w:r>
        <w:rPr>
          <w:rFonts w:ascii="Times New Roman" w:hAnsi="Times New Roman" w:cs="Times New Roman"/>
          <w:sz w:val="24"/>
          <w:szCs w:val="24"/>
        </w:rPr>
        <w:t>in 1888</w:t>
      </w:r>
      <w:r w:rsidR="00C571A3">
        <w:rPr>
          <w:rFonts w:ascii="Times New Roman" w:hAnsi="Times New Roman" w:cs="Times New Roman"/>
          <w:sz w:val="24"/>
          <w:szCs w:val="24"/>
        </w:rPr>
        <w:t>, the</w:t>
      </w:r>
      <w:r w:rsidR="00C7523A">
        <w:rPr>
          <w:rFonts w:ascii="Times New Roman" w:hAnsi="Times New Roman" w:cs="Times New Roman"/>
          <w:sz w:val="24"/>
          <w:szCs w:val="24"/>
        </w:rPr>
        <w:t xml:space="preserve"> decision</w:t>
      </w:r>
      <w:r w:rsidR="00C76E2A">
        <w:rPr>
          <w:rFonts w:ascii="Times New Roman" w:hAnsi="Times New Roman" w:cs="Times New Roman"/>
          <w:sz w:val="24"/>
          <w:szCs w:val="24"/>
        </w:rPr>
        <w:t xml:space="preserve"> that</w:t>
      </w:r>
      <w:r w:rsidR="00C7523A">
        <w:rPr>
          <w:rFonts w:ascii="Times New Roman" w:hAnsi="Times New Roman" w:cs="Times New Roman"/>
          <w:sz w:val="24"/>
          <w:szCs w:val="24"/>
        </w:rPr>
        <w:t xml:space="preserve"> </w:t>
      </w:r>
      <w:r w:rsidR="00876CBF">
        <w:rPr>
          <w:rFonts w:ascii="Times New Roman" w:hAnsi="Times New Roman" w:cs="Times New Roman"/>
          <w:iCs/>
          <w:sz w:val="24"/>
          <w:szCs w:val="24"/>
        </w:rPr>
        <w:t>confirmed</w:t>
      </w:r>
      <w:r w:rsidR="00B47858" w:rsidRPr="00AF6308">
        <w:rPr>
          <w:rFonts w:ascii="Times New Roman" w:hAnsi="Times New Roman" w:cs="Times New Roman"/>
          <w:sz w:val="24"/>
          <w:szCs w:val="24"/>
        </w:rPr>
        <w:t xml:space="preserve"> the Crown’s absolute sovereignty</w:t>
      </w:r>
      <w:r w:rsidR="00876CBF">
        <w:rPr>
          <w:rFonts w:ascii="Times New Roman" w:hAnsi="Times New Roman" w:cs="Times New Roman"/>
          <w:sz w:val="24"/>
          <w:szCs w:val="24"/>
        </w:rPr>
        <w:t xml:space="preserve"> and</w:t>
      </w:r>
      <w:r w:rsidR="00B47858" w:rsidRPr="00AF6308">
        <w:rPr>
          <w:rFonts w:ascii="Times New Roman" w:hAnsi="Times New Roman" w:cs="Times New Roman"/>
          <w:sz w:val="24"/>
          <w:szCs w:val="24"/>
        </w:rPr>
        <w:t xml:space="preserve"> gave wind to the sails of Canada’s colonial project.</w:t>
      </w:r>
      <w:r w:rsidR="00C76E2A">
        <w:rPr>
          <w:rFonts w:ascii="Times New Roman" w:hAnsi="Times New Roman" w:cs="Times New Roman"/>
          <w:sz w:val="24"/>
          <w:szCs w:val="24"/>
        </w:rPr>
        <w:t xml:space="preserve">  </w:t>
      </w:r>
    </w:p>
    <w:p w14:paraId="5DB70946" w14:textId="3FAA326B" w:rsidR="00B47858" w:rsidRDefault="00B47858" w:rsidP="00684B3E">
      <w:pPr>
        <w:tabs>
          <w:tab w:val="left" w:pos="1168"/>
        </w:tabs>
        <w:jc w:val="both"/>
        <w:rPr>
          <w:rFonts w:ascii="Times New Roman" w:hAnsi="Times New Roman" w:cs="Times New Roman"/>
          <w:sz w:val="24"/>
          <w:szCs w:val="24"/>
        </w:rPr>
      </w:pPr>
    </w:p>
    <w:p w14:paraId="5BEE72C6" w14:textId="314AB35E" w:rsidR="00B47858" w:rsidRPr="00307F5D" w:rsidRDefault="00B47858" w:rsidP="00F84132">
      <w:pPr>
        <w:pStyle w:val="Heading3"/>
        <w:numPr>
          <w:ilvl w:val="0"/>
          <w:numId w:val="14"/>
        </w:numPr>
        <w:spacing w:after="200"/>
        <w:ind w:left="1134" w:hanging="425"/>
        <w:contextualSpacing w:val="0"/>
        <w:rPr>
          <w:b w:val="0"/>
          <w:bCs/>
          <w:i w:val="0"/>
          <w:iCs/>
        </w:rPr>
      </w:pPr>
      <w:r w:rsidRPr="00307F5D">
        <w:rPr>
          <w:b w:val="0"/>
          <w:bCs/>
          <w:i w:val="0"/>
          <w:iCs/>
        </w:rPr>
        <w:t xml:space="preserve">Harms </w:t>
      </w:r>
      <w:r w:rsidR="005C6452">
        <w:rPr>
          <w:b w:val="0"/>
          <w:bCs/>
          <w:i w:val="0"/>
          <w:iCs/>
        </w:rPr>
        <w:t>C</w:t>
      </w:r>
      <w:r w:rsidR="005C6452" w:rsidRPr="00307F5D">
        <w:rPr>
          <w:b w:val="0"/>
          <w:bCs/>
          <w:i w:val="0"/>
          <w:iCs/>
        </w:rPr>
        <w:t xml:space="preserve">aused </w:t>
      </w:r>
      <w:r w:rsidRPr="00307F5D">
        <w:rPr>
          <w:b w:val="0"/>
          <w:bCs/>
          <w:i w:val="0"/>
          <w:iCs/>
        </w:rPr>
        <w:t xml:space="preserve">by </w:t>
      </w:r>
      <w:r w:rsidR="005C6452">
        <w:rPr>
          <w:b w:val="0"/>
          <w:bCs/>
          <w:i w:val="0"/>
          <w:iCs/>
        </w:rPr>
        <w:t>J</w:t>
      </w:r>
      <w:r w:rsidR="005C6452" w:rsidRPr="00307F5D">
        <w:rPr>
          <w:b w:val="0"/>
          <w:bCs/>
          <w:i w:val="0"/>
          <w:iCs/>
        </w:rPr>
        <w:t xml:space="preserve">urisdictional </w:t>
      </w:r>
      <w:r w:rsidR="005C6452">
        <w:rPr>
          <w:b w:val="0"/>
          <w:bCs/>
          <w:i w:val="0"/>
          <w:iCs/>
        </w:rPr>
        <w:t>N</w:t>
      </w:r>
      <w:r w:rsidR="005C6452" w:rsidRPr="00307F5D">
        <w:rPr>
          <w:b w:val="0"/>
          <w:bCs/>
          <w:i w:val="0"/>
          <w:iCs/>
        </w:rPr>
        <w:t>eglect</w:t>
      </w:r>
    </w:p>
    <w:p w14:paraId="5CE06956" w14:textId="08E875DD"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AF6308">
        <w:rPr>
          <w:rFonts w:ascii="Times New Roman" w:hAnsi="Times New Roman" w:cs="Times New Roman"/>
          <w:sz w:val="24"/>
          <w:szCs w:val="24"/>
        </w:rPr>
        <w:t>While it is obvious that the</w:t>
      </w:r>
      <w:r>
        <w:rPr>
          <w:rFonts w:ascii="Times New Roman" w:hAnsi="Times New Roman" w:cs="Times New Roman"/>
          <w:sz w:val="24"/>
          <w:szCs w:val="24"/>
        </w:rPr>
        <w:t xml:space="preserve"> current interpretation of </w:t>
      </w:r>
      <w:r w:rsidR="002B4063">
        <w:rPr>
          <w:rFonts w:ascii="Times New Roman" w:hAnsi="Times New Roman" w:cs="Times New Roman"/>
          <w:sz w:val="24"/>
          <w:szCs w:val="24"/>
        </w:rPr>
        <w:t>s 91</w:t>
      </w:r>
      <w:r>
        <w:rPr>
          <w:rFonts w:ascii="Times New Roman" w:hAnsi="Times New Roman" w:cs="Times New Roman"/>
          <w:sz w:val="24"/>
          <w:szCs w:val="24"/>
        </w:rPr>
        <w:t>(24) facilitated the</w:t>
      </w:r>
      <w:r w:rsidRPr="00AF6308">
        <w:rPr>
          <w:rFonts w:ascii="Times New Roman" w:hAnsi="Times New Roman" w:cs="Times New Roman"/>
          <w:sz w:val="24"/>
          <w:szCs w:val="24"/>
        </w:rPr>
        <w:t xml:space="preserve"> </w:t>
      </w:r>
      <w:r>
        <w:rPr>
          <w:rFonts w:ascii="Times New Roman" w:hAnsi="Times New Roman" w:cs="Times New Roman"/>
          <w:sz w:val="24"/>
          <w:szCs w:val="24"/>
        </w:rPr>
        <w:t>exercise</w:t>
      </w:r>
      <w:r w:rsidRPr="00AF6308">
        <w:rPr>
          <w:rFonts w:ascii="Times New Roman" w:hAnsi="Times New Roman" w:cs="Times New Roman"/>
          <w:sz w:val="24"/>
          <w:szCs w:val="24"/>
        </w:rPr>
        <w:t xml:space="preserve"> </w:t>
      </w:r>
      <w:r>
        <w:rPr>
          <w:rFonts w:ascii="Times New Roman" w:hAnsi="Times New Roman" w:cs="Times New Roman"/>
          <w:sz w:val="24"/>
          <w:szCs w:val="24"/>
        </w:rPr>
        <w:t xml:space="preserve">of </w:t>
      </w:r>
      <w:r w:rsidRPr="00AF6308">
        <w:rPr>
          <w:rFonts w:ascii="Times New Roman" w:hAnsi="Times New Roman" w:cs="Times New Roman"/>
          <w:sz w:val="24"/>
          <w:szCs w:val="24"/>
        </w:rPr>
        <w:t xml:space="preserve">extraordinary control over the lives of First Nations peoples </w:t>
      </w:r>
      <w:r>
        <w:rPr>
          <w:rFonts w:ascii="Times New Roman" w:hAnsi="Times New Roman" w:cs="Times New Roman"/>
          <w:sz w:val="24"/>
          <w:szCs w:val="24"/>
        </w:rPr>
        <w:t xml:space="preserve">by the federal government, </w:t>
      </w:r>
      <w:r w:rsidRPr="00AF6308">
        <w:rPr>
          <w:rFonts w:ascii="Times New Roman" w:hAnsi="Times New Roman" w:cs="Times New Roman"/>
          <w:sz w:val="24"/>
          <w:szCs w:val="24"/>
        </w:rPr>
        <w:t xml:space="preserve">the other (less-known) side </w:t>
      </w:r>
      <w:r>
        <w:rPr>
          <w:rFonts w:ascii="Times New Roman" w:hAnsi="Times New Roman" w:cs="Times New Roman"/>
          <w:sz w:val="24"/>
          <w:szCs w:val="24"/>
        </w:rPr>
        <w:t>of</w:t>
      </w:r>
      <w:r w:rsidRPr="00AF6308">
        <w:rPr>
          <w:rFonts w:ascii="Times New Roman" w:hAnsi="Times New Roman" w:cs="Times New Roman"/>
          <w:sz w:val="24"/>
          <w:szCs w:val="24"/>
        </w:rPr>
        <w:t xml:space="preserve"> this coin is the extraordinary neglect of Indigenous people</w:t>
      </w:r>
      <w:r>
        <w:rPr>
          <w:rFonts w:ascii="Times New Roman" w:hAnsi="Times New Roman" w:cs="Times New Roman"/>
          <w:sz w:val="24"/>
          <w:szCs w:val="24"/>
        </w:rPr>
        <w:t xml:space="preserve">s’ needs and well-being that the </w:t>
      </w:r>
      <w:r w:rsidRPr="00AF6308">
        <w:rPr>
          <w:rFonts w:ascii="Times New Roman" w:hAnsi="Times New Roman" w:cs="Times New Roman"/>
          <w:sz w:val="24"/>
          <w:szCs w:val="24"/>
        </w:rPr>
        <w:t>government</w:t>
      </w:r>
      <w:r>
        <w:rPr>
          <w:rFonts w:ascii="Times New Roman" w:hAnsi="Times New Roman" w:cs="Times New Roman"/>
          <w:sz w:val="24"/>
          <w:szCs w:val="24"/>
        </w:rPr>
        <w:t>s’</w:t>
      </w:r>
      <w:r w:rsidRPr="00AF6308">
        <w:rPr>
          <w:rFonts w:ascii="Times New Roman" w:hAnsi="Times New Roman" w:cs="Times New Roman"/>
          <w:sz w:val="24"/>
          <w:szCs w:val="24"/>
        </w:rPr>
        <w:t xml:space="preserve"> and courts’ interpretation of </w:t>
      </w:r>
      <w:r w:rsidR="002B4063">
        <w:rPr>
          <w:rFonts w:ascii="Times New Roman" w:hAnsi="Times New Roman" w:cs="Times New Roman"/>
          <w:sz w:val="24"/>
          <w:szCs w:val="24"/>
        </w:rPr>
        <w:t>s 91</w:t>
      </w:r>
      <w:r w:rsidRPr="00AF6308">
        <w:rPr>
          <w:rFonts w:ascii="Times New Roman" w:hAnsi="Times New Roman" w:cs="Times New Roman"/>
          <w:sz w:val="24"/>
          <w:szCs w:val="24"/>
        </w:rPr>
        <w:t xml:space="preserve">(24) has facilitated.  </w:t>
      </w:r>
    </w:p>
    <w:p w14:paraId="4A4D7E90" w14:textId="77777777" w:rsidR="00B47858" w:rsidRDefault="00B47858" w:rsidP="00684B3E">
      <w:pPr>
        <w:pStyle w:val="ListParagraph"/>
        <w:tabs>
          <w:tab w:val="left" w:pos="1168"/>
        </w:tabs>
        <w:ind w:left="0"/>
        <w:jc w:val="both"/>
        <w:rPr>
          <w:rFonts w:ascii="Times New Roman" w:hAnsi="Times New Roman" w:cs="Times New Roman"/>
          <w:sz w:val="24"/>
          <w:szCs w:val="24"/>
        </w:rPr>
      </w:pPr>
    </w:p>
    <w:p w14:paraId="3FAFA235" w14:textId="49103811"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730F3E">
        <w:rPr>
          <w:rFonts w:ascii="Times New Roman" w:hAnsi="Times New Roman" w:cs="Times New Roman"/>
          <w:sz w:val="24"/>
          <w:szCs w:val="24"/>
        </w:rPr>
        <w:t xml:space="preserve">Although </w:t>
      </w:r>
      <w:r>
        <w:rPr>
          <w:rFonts w:ascii="Times New Roman" w:hAnsi="Times New Roman" w:cs="Times New Roman"/>
          <w:sz w:val="24"/>
          <w:szCs w:val="24"/>
        </w:rPr>
        <w:t xml:space="preserve">the </w:t>
      </w:r>
      <w:r>
        <w:rPr>
          <w:rFonts w:ascii="Times New Roman" w:hAnsi="Times New Roman" w:cs="Times New Roman"/>
          <w:i/>
          <w:sz w:val="24"/>
          <w:szCs w:val="24"/>
        </w:rPr>
        <w:t xml:space="preserve">Indian Act </w:t>
      </w:r>
      <w:r w:rsidRPr="00730F3E">
        <w:rPr>
          <w:rFonts w:ascii="Times New Roman" w:hAnsi="Times New Roman" w:cs="Times New Roman"/>
          <w:sz w:val="24"/>
          <w:szCs w:val="24"/>
        </w:rPr>
        <w:t xml:space="preserve">touches upon many areas of First Nations’ peoples lives, there are in fact several policy areas over which </w:t>
      </w:r>
      <w:r>
        <w:rPr>
          <w:rFonts w:ascii="Times New Roman" w:hAnsi="Times New Roman" w:cs="Times New Roman"/>
          <w:sz w:val="24"/>
          <w:szCs w:val="24"/>
        </w:rPr>
        <w:t>it</w:t>
      </w:r>
      <w:r w:rsidRPr="00730F3E">
        <w:rPr>
          <w:rFonts w:ascii="Times New Roman" w:hAnsi="Times New Roman" w:cs="Times New Roman"/>
          <w:sz w:val="24"/>
          <w:szCs w:val="24"/>
        </w:rPr>
        <w:t xml:space="preserve"> is </w:t>
      </w:r>
      <w:r>
        <w:rPr>
          <w:rFonts w:ascii="Times New Roman" w:hAnsi="Times New Roman" w:cs="Times New Roman"/>
          <w:sz w:val="24"/>
          <w:szCs w:val="24"/>
        </w:rPr>
        <w:t xml:space="preserve">largely </w:t>
      </w:r>
      <w:r w:rsidRPr="00730F3E">
        <w:rPr>
          <w:rFonts w:ascii="Times New Roman" w:hAnsi="Times New Roman" w:cs="Times New Roman"/>
          <w:sz w:val="24"/>
          <w:szCs w:val="24"/>
        </w:rPr>
        <w:t xml:space="preserve">silent, including the areas of child welfare, social assistance, education (outside the IRS system), housing, water, policing, </w:t>
      </w:r>
      <w:r>
        <w:rPr>
          <w:rFonts w:ascii="Times New Roman" w:hAnsi="Times New Roman" w:cs="Times New Roman"/>
          <w:sz w:val="24"/>
          <w:szCs w:val="24"/>
        </w:rPr>
        <w:t>emergency services,</w:t>
      </w:r>
      <w:r w:rsidRPr="00730F3E">
        <w:rPr>
          <w:rFonts w:ascii="Times New Roman" w:hAnsi="Times New Roman" w:cs="Times New Roman"/>
          <w:sz w:val="24"/>
          <w:szCs w:val="24"/>
        </w:rPr>
        <w:t xml:space="preserve"> and land claims, to name a few.</w:t>
      </w:r>
      <w:r>
        <w:rPr>
          <w:rStyle w:val="FootnoteReference"/>
          <w:rFonts w:ascii="Times New Roman" w:hAnsi="Times New Roman" w:cs="Times New Roman"/>
          <w:sz w:val="24"/>
          <w:szCs w:val="24"/>
        </w:rPr>
        <w:footnoteReference w:id="38"/>
      </w:r>
      <w:r w:rsidRPr="00730F3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In addition, </w:t>
      </w:r>
      <w:r>
        <w:rPr>
          <w:rFonts w:ascii="Times New Roman" w:hAnsi="Times New Roman" w:cs="Times New Roman"/>
          <w:sz w:val="24"/>
          <w:szCs w:val="24"/>
        </w:rPr>
        <w:t>t</w:t>
      </w:r>
      <w:r w:rsidRPr="00730F3E">
        <w:rPr>
          <w:rFonts w:ascii="Times New Roman" w:hAnsi="Times New Roman" w:cs="Times New Roman"/>
          <w:sz w:val="24"/>
          <w:szCs w:val="24"/>
        </w:rPr>
        <w:t xml:space="preserve">he </w:t>
      </w:r>
      <w:r w:rsidRPr="00730F3E">
        <w:rPr>
          <w:rFonts w:ascii="Times New Roman" w:hAnsi="Times New Roman" w:cs="Times New Roman"/>
          <w:i/>
          <w:sz w:val="24"/>
          <w:szCs w:val="24"/>
        </w:rPr>
        <w:t>Indian Act</w:t>
      </w:r>
      <w:r w:rsidRPr="00730F3E">
        <w:rPr>
          <w:rFonts w:ascii="Times New Roman" w:hAnsi="Times New Roman" w:cs="Times New Roman"/>
          <w:sz w:val="24"/>
          <w:szCs w:val="24"/>
        </w:rPr>
        <w:t xml:space="preserve"> also excludes application to Inuit</w:t>
      </w:r>
      <w:r>
        <w:rPr>
          <w:rFonts w:ascii="Times New Roman" w:hAnsi="Times New Roman" w:cs="Times New Roman"/>
          <w:sz w:val="24"/>
          <w:szCs w:val="24"/>
        </w:rPr>
        <w:t xml:space="preserve"> and</w:t>
      </w:r>
      <w:r w:rsidRPr="00730F3E">
        <w:rPr>
          <w:rFonts w:ascii="Times New Roman" w:hAnsi="Times New Roman" w:cs="Times New Roman"/>
          <w:sz w:val="24"/>
          <w:szCs w:val="24"/>
        </w:rPr>
        <w:t xml:space="preserve"> Métis</w:t>
      </w:r>
      <w:r>
        <w:rPr>
          <w:rFonts w:ascii="Times New Roman" w:hAnsi="Times New Roman" w:cs="Times New Roman"/>
          <w:sz w:val="24"/>
          <w:szCs w:val="24"/>
        </w:rPr>
        <w:t>,</w:t>
      </w:r>
      <w:r w:rsidRPr="00730F3E">
        <w:rPr>
          <w:rFonts w:ascii="Times New Roman" w:hAnsi="Times New Roman" w:cs="Times New Roman"/>
          <w:sz w:val="24"/>
          <w:szCs w:val="24"/>
        </w:rPr>
        <w:t xml:space="preserve"> as well as First Nations not registered under the </w:t>
      </w:r>
      <w:r w:rsidRPr="00730F3E">
        <w:rPr>
          <w:rFonts w:ascii="Times New Roman" w:hAnsi="Times New Roman" w:cs="Times New Roman"/>
          <w:i/>
          <w:sz w:val="24"/>
          <w:szCs w:val="24"/>
        </w:rPr>
        <w:t>Indian Act</w:t>
      </w:r>
      <w:r w:rsidRPr="00730F3E">
        <w:rPr>
          <w:rFonts w:ascii="Times New Roman" w:hAnsi="Times New Roman" w:cs="Times New Roman"/>
          <w:sz w:val="24"/>
          <w:szCs w:val="24"/>
        </w:rPr>
        <w:t xml:space="preserve">.  Since Confederation, this has raised questions about which government (federal or provincial) has </w:t>
      </w:r>
      <w:r>
        <w:rPr>
          <w:rFonts w:ascii="Times New Roman" w:hAnsi="Times New Roman" w:cs="Times New Roman"/>
          <w:sz w:val="24"/>
          <w:szCs w:val="24"/>
        </w:rPr>
        <w:t xml:space="preserve">the </w:t>
      </w:r>
      <w:r w:rsidRPr="00730F3E">
        <w:rPr>
          <w:rFonts w:ascii="Times New Roman" w:hAnsi="Times New Roman" w:cs="Times New Roman"/>
          <w:sz w:val="24"/>
          <w:szCs w:val="24"/>
        </w:rPr>
        <w:lastRenderedPageBreak/>
        <w:t xml:space="preserve">responsibility to create legislation and policy and delivery of services in the </w:t>
      </w:r>
      <w:r>
        <w:rPr>
          <w:rFonts w:ascii="Times New Roman" w:hAnsi="Times New Roman" w:cs="Times New Roman"/>
          <w:sz w:val="24"/>
          <w:szCs w:val="24"/>
        </w:rPr>
        <w:t>areas covered by</w:t>
      </w:r>
      <w:r w:rsidRPr="00730F3E">
        <w:rPr>
          <w:rFonts w:ascii="Times New Roman" w:hAnsi="Times New Roman" w:cs="Times New Roman"/>
          <w:sz w:val="24"/>
          <w:szCs w:val="24"/>
        </w:rPr>
        <w:t xml:space="preserve"> these omissions.</w:t>
      </w:r>
      <w:r>
        <w:rPr>
          <w:rStyle w:val="FootnoteReference"/>
          <w:rFonts w:ascii="Times New Roman" w:hAnsi="Times New Roman" w:cs="Times New Roman"/>
          <w:sz w:val="24"/>
          <w:szCs w:val="24"/>
        </w:rPr>
        <w:footnoteReference w:id="39"/>
      </w:r>
      <w:r w:rsidRPr="00730F3E">
        <w:rPr>
          <w:rFonts w:ascii="Times New Roman" w:hAnsi="Times New Roman" w:cs="Times New Roman"/>
          <w:sz w:val="24"/>
          <w:szCs w:val="24"/>
        </w:rPr>
        <w:t xml:space="preserve">  </w:t>
      </w:r>
    </w:p>
    <w:p w14:paraId="7BE5235D" w14:textId="77777777" w:rsidR="00B47858" w:rsidRPr="00730F3E" w:rsidRDefault="00B47858" w:rsidP="00684B3E">
      <w:pPr>
        <w:pStyle w:val="ListParagraph"/>
        <w:rPr>
          <w:rFonts w:ascii="Times New Roman" w:hAnsi="Times New Roman" w:cs="Times New Roman"/>
          <w:sz w:val="24"/>
          <w:szCs w:val="24"/>
        </w:rPr>
      </w:pPr>
    </w:p>
    <w:p w14:paraId="10E1AD6A" w14:textId="7C7CF8C7" w:rsidR="00B47858" w:rsidRPr="00E65ABB" w:rsidRDefault="00B47858" w:rsidP="00F84132">
      <w:pPr>
        <w:pStyle w:val="ListParagraph"/>
        <w:numPr>
          <w:ilvl w:val="0"/>
          <w:numId w:val="1"/>
        </w:numPr>
        <w:spacing w:after="160"/>
        <w:ind w:left="0" w:firstLine="0"/>
        <w:contextualSpacing w:val="0"/>
        <w:jc w:val="both"/>
        <w:rPr>
          <w:rFonts w:ascii="Times New Roman" w:hAnsi="Times New Roman" w:cs="Times New Roman"/>
          <w:sz w:val="24"/>
          <w:szCs w:val="24"/>
        </w:rPr>
      </w:pPr>
      <w:r w:rsidRPr="00730F3E">
        <w:rPr>
          <w:rFonts w:ascii="Times New Roman" w:hAnsi="Times New Roman" w:cs="Times New Roman"/>
          <w:sz w:val="24"/>
          <w:szCs w:val="24"/>
        </w:rPr>
        <w:t xml:space="preserve">By signalling the possibility of concurrent power over Indians and their lands early on, the courts introduced a significant degree of uncertainty that both the federal and provincial governments have since used to their advantage.  Generally, as it relates to matters requiring government expenditure of resources (as opposed </w:t>
      </w:r>
      <w:r>
        <w:rPr>
          <w:rFonts w:ascii="Times New Roman" w:hAnsi="Times New Roman" w:cs="Times New Roman"/>
          <w:sz w:val="24"/>
          <w:szCs w:val="24"/>
        </w:rPr>
        <w:t xml:space="preserve">to the </w:t>
      </w:r>
      <w:r w:rsidRPr="00E90E5F">
        <w:rPr>
          <w:rFonts w:ascii="Times New Roman" w:hAnsi="Times New Roman" w:cs="Times New Roman"/>
          <w:i/>
          <w:iCs/>
          <w:sz w:val="24"/>
          <w:szCs w:val="24"/>
        </w:rPr>
        <w:t>taking</w:t>
      </w:r>
      <w:r w:rsidRPr="00730F3E">
        <w:rPr>
          <w:rFonts w:ascii="Times New Roman" w:hAnsi="Times New Roman" w:cs="Times New Roman"/>
          <w:sz w:val="24"/>
          <w:szCs w:val="24"/>
        </w:rPr>
        <w:t xml:space="preserve"> of resources), the provinces argue that Indigenous matters are a federal responsibility, while the federal government argues that th</w:t>
      </w:r>
      <w:r w:rsidR="00A529BF">
        <w:rPr>
          <w:rFonts w:ascii="Times New Roman" w:hAnsi="Times New Roman" w:cs="Times New Roman"/>
          <w:sz w:val="24"/>
          <w:szCs w:val="24"/>
        </w:rPr>
        <w:t>ose areas not covered</w:t>
      </w:r>
      <w:r w:rsidR="00397E0B">
        <w:rPr>
          <w:rFonts w:ascii="Times New Roman" w:hAnsi="Times New Roman" w:cs="Times New Roman"/>
          <w:sz w:val="24"/>
          <w:szCs w:val="24"/>
        </w:rPr>
        <w:t xml:space="preserve"> in the </w:t>
      </w:r>
      <w:r w:rsidR="00397E0B">
        <w:rPr>
          <w:rFonts w:ascii="Times New Roman" w:hAnsi="Times New Roman" w:cs="Times New Roman"/>
          <w:i/>
          <w:sz w:val="24"/>
          <w:szCs w:val="24"/>
        </w:rPr>
        <w:t>Indian Act</w:t>
      </w:r>
      <w:r w:rsidRPr="00730F3E">
        <w:rPr>
          <w:rFonts w:ascii="Times New Roman" w:hAnsi="Times New Roman" w:cs="Times New Roman"/>
          <w:sz w:val="24"/>
          <w:szCs w:val="24"/>
        </w:rPr>
        <w:t xml:space="preserve"> are</w:t>
      </w:r>
      <w:r>
        <w:rPr>
          <w:rFonts w:ascii="Times New Roman" w:hAnsi="Times New Roman" w:cs="Times New Roman"/>
          <w:sz w:val="24"/>
          <w:szCs w:val="24"/>
        </w:rPr>
        <w:t xml:space="preserve"> within</w:t>
      </w:r>
      <w:r w:rsidRPr="00730F3E">
        <w:rPr>
          <w:rFonts w:ascii="Times New Roman" w:hAnsi="Times New Roman" w:cs="Times New Roman"/>
          <w:sz w:val="24"/>
          <w:szCs w:val="24"/>
        </w:rPr>
        <w:t xml:space="preserve"> provincial jurisdiction.  </w:t>
      </w:r>
      <w:r>
        <w:rPr>
          <w:rFonts w:ascii="Times New Roman" w:hAnsi="Times New Roman" w:cs="Times New Roman"/>
          <w:sz w:val="24"/>
          <w:szCs w:val="24"/>
        </w:rPr>
        <w:t xml:space="preserve">This denial of responsibility by both levels of government is unique to </w:t>
      </w:r>
      <w:r w:rsidR="002B4063">
        <w:rPr>
          <w:rFonts w:ascii="Times New Roman" w:hAnsi="Times New Roman" w:cs="Times New Roman"/>
          <w:sz w:val="24"/>
          <w:szCs w:val="24"/>
        </w:rPr>
        <w:t>s 91</w:t>
      </w:r>
      <w:r>
        <w:rPr>
          <w:rFonts w:ascii="Times New Roman" w:hAnsi="Times New Roman" w:cs="Times New Roman"/>
          <w:sz w:val="24"/>
          <w:szCs w:val="24"/>
        </w:rPr>
        <w:t>(24), a</w:t>
      </w:r>
      <w:r w:rsidRPr="00730F3E">
        <w:rPr>
          <w:rFonts w:ascii="Times New Roman" w:hAnsi="Times New Roman" w:cs="Times New Roman"/>
          <w:sz w:val="24"/>
          <w:szCs w:val="24"/>
        </w:rPr>
        <w:t xml:space="preserve">s </w:t>
      </w:r>
      <w:r>
        <w:rPr>
          <w:rFonts w:ascii="Times New Roman" w:hAnsi="Times New Roman" w:cs="Times New Roman"/>
          <w:sz w:val="24"/>
          <w:szCs w:val="24"/>
        </w:rPr>
        <w:t>observed</w:t>
      </w:r>
      <w:r w:rsidRPr="00730F3E">
        <w:rPr>
          <w:rFonts w:ascii="Times New Roman" w:hAnsi="Times New Roman" w:cs="Times New Roman"/>
          <w:sz w:val="24"/>
          <w:szCs w:val="24"/>
        </w:rPr>
        <w:t xml:space="preserve"> by Kent McNeil</w:t>
      </w:r>
      <w:r>
        <w:rPr>
          <w:rFonts w:ascii="Times New Roman" w:hAnsi="Times New Roman" w:cs="Times New Roman"/>
          <w:sz w:val="24"/>
          <w:szCs w:val="24"/>
        </w:rPr>
        <w:t>:</w:t>
      </w:r>
    </w:p>
    <w:p w14:paraId="470A7967" w14:textId="36E96530" w:rsidR="00B47858" w:rsidRDefault="00B47858" w:rsidP="00684B3E">
      <w:pPr>
        <w:pStyle w:val="ListParagraph"/>
        <w:jc w:val="both"/>
        <w:rPr>
          <w:rFonts w:ascii="Times New Roman" w:hAnsi="Times New Roman" w:cs="Times New Roman"/>
          <w:sz w:val="24"/>
          <w:szCs w:val="24"/>
        </w:rPr>
      </w:pPr>
      <w:r w:rsidRPr="00F84132">
        <w:rPr>
          <w:rFonts w:ascii="Times New Roman" w:hAnsi="Times New Roman" w:cs="Times New Roman"/>
          <w:sz w:val="20"/>
          <w:szCs w:val="20"/>
        </w:rPr>
        <w:t>In other division of powers situations, the federal government and the provinces usually fight one another for jurisdiction, each trying to amass as much authority as possible.  But when it comes to jurisdiction in relation to Aboriginal peoples, exactly the opposite phenomenon occurs.</w:t>
      </w:r>
      <w:r w:rsidRPr="006E02C3">
        <w:rPr>
          <w:rStyle w:val="FootnoteReference"/>
          <w:rFonts w:ascii="Times New Roman" w:hAnsi="Times New Roman" w:cs="Times New Roman"/>
          <w:sz w:val="20"/>
          <w:szCs w:val="20"/>
        </w:rPr>
        <w:footnoteReference w:id="40"/>
      </w:r>
      <w:r>
        <w:rPr>
          <w:rFonts w:ascii="Times New Roman" w:hAnsi="Times New Roman" w:cs="Times New Roman"/>
          <w:sz w:val="24"/>
          <w:szCs w:val="24"/>
        </w:rPr>
        <w:t xml:space="preserve">  </w:t>
      </w:r>
      <w:r w:rsidRPr="00730F3E">
        <w:rPr>
          <w:rFonts w:ascii="Times New Roman" w:hAnsi="Times New Roman" w:cs="Times New Roman"/>
          <w:sz w:val="24"/>
          <w:szCs w:val="24"/>
        </w:rPr>
        <w:t xml:space="preserve">  </w:t>
      </w:r>
    </w:p>
    <w:p w14:paraId="67945AC3" w14:textId="77777777" w:rsidR="00B47858" w:rsidRPr="001C061F" w:rsidRDefault="00B47858" w:rsidP="00684B3E">
      <w:pPr>
        <w:pStyle w:val="ListParagraph"/>
        <w:rPr>
          <w:rFonts w:ascii="Times New Roman" w:hAnsi="Times New Roman" w:cs="Times New Roman"/>
          <w:sz w:val="24"/>
          <w:szCs w:val="24"/>
        </w:rPr>
      </w:pPr>
    </w:p>
    <w:p w14:paraId="333F348D" w14:textId="45CD9A80" w:rsidR="00B47858" w:rsidRPr="004E7110" w:rsidRDefault="00B47858"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Such denials became especially prominent after</w:t>
      </w:r>
      <w:r w:rsidRPr="001C061F">
        <w:rPr>
          <w:rFonts w:ascii="Times New Roman" w:hAnsi="Times New Roman" w:cs="Times New Roman"/>
          <w:sz w:val="24"/>
          <w:szCs w:val="24"/>
        </w:rPr>
        <w:t xml:space="preserve"> the rise of the administrative state </w:t>
      </w:r>
      <w:r>
        <w:rPr>
          <w:rFonts w:ascii="Times New Roman" w:hAnsi="Times New Roman" w:cs="Times New Roman"/>
          <w:sz w:val="24"/>
          <w:szCs w:val="24"/>
        </w:rPr>
        <w:t>post-</w:t>
      </w:r>
      <w:r w:rsidRPr="001C061F">
        <w:rPr>
          <w:rFonts w:ascii="Times New Roman" w:hAnsi="Times New Roman" w:cs="Times New Roman"/>
          <w:sz w:val="24"/>
          <w:szCs w:val="24"/>
        </w:rPr>
        <w:t xml:space="preserve">WWII </w:t>
      </w:r>
      <w:r>
        <w:rPr>
          <w:rFonts w:ascii="Times New Roman" w:hAnsi="Times New Roman" w:cs="Times New Roman"/>
          <w:sz w:val="24"/>
          <w:szCs w:val="24"/>
        </w:rPr>
        <w:t>when governments began to provide</w:t>
      </w:r>
      <w:r w:rsidRPr="001C061F">
        <w:rPr>
          <w:rFonts w:ascii="Times New Roman" w:hAnsi="Times New Roman" w:cs="Times New Roman"/>
          <w:sz w:val="24"/>
          <w:szCs w:val="24"/>
        </w:rPr>
        <w:t xml:space="preserve"> basic, essential services</w:t>
      </w:r>
      <w:r>
        <w:rPr>
          <w:rFonts w:ascii="Times New Roman" w:hAnsi="Times New Roman" w:cs="Times New Roman"/>
          <w:sz w:val="24"/>
          <w:szCs w:val="24"/>
        </w:rPr>
        <w:t xml:space="preserve"> to citizens</w:t>
      </w:r>
      <w:r w:rsidRPr="001C061F">
        <w:rPr>
          <w:rFonts w:ascii="Times New Roman" w:hAnsi="Times New Roman" w:cs="Times New Roman"/>
          <w:sz w:val="24"/>
          <w:szCs w:val="24"/>
        </w:rPr>
        <w:t xml:space="preserve">.  These are the conditions that led to the </w:t>
      </w:r>
      <w:r>
        <w:rPr>
          <w:rFonts w:ascii="Times New Roman" w:hAnsi="Times New Roman" w:cs="Times New Roman"/>
          <w:sz w:val="24"/>
          <w:szCs w:val="24"/>
        </w:rPr>
        <w:t>addition</w:t>
      </w:r>
      <w:r w:rsidRPr="001C061F">
        <w:rPr>
          <w:rFonts w:ascii="Times New Roman" w:hAnsi="Times New Roman" w:cs="Times New Roman"/>
          <w:sz w:val="24"/>
          <w:szCs w:val="24"/>
        </w:rPr>
        <w:t xml:space="preserve"> of </w:t>
      </w:r>
      <w:r w:rsidR="009A4F6F">
        <w:rPr>
          <w:rFonts w:ascii="Times New Roman" w:hAnsi="Times New Roman" w:cs="Times New Roman"/>
          <w:sz w:val="24"/>
          <w:szCs w:val="24"/>
        </w:rPr>
        <w:t>s 88</w:t>
      </w:r>
      <w:r w:rsidRPr="001C061F">
        <w:rPr>
          <w:rFonts w:ascii="Times New Roman" w:hAnsi="Times New Roman" w:cs="Times New Roman"/>
          <w:sz w:val="24"/>
          <w:szCs w:val="24"/>
        </w:rPr>
        <w:t xml:space="preserve"> </w:t>
      </w:r>
      <w:r>
        <w:rPr>
          <w:rFonts w:ascii="Times New Roman" w:hAnsi="Times New Roman" w:cs="Times New Roman"/>
          <w:sz w:val="24"/>
          <w:szCs w:val="24"/>
        </w:rPr>
        <w:t>to</w:t>
      </w:r>
      <w:r w:rsidRPr="001C061F">
        <w:rPr>
          <w:rFonts w:ascii="Times New Roman" w:hAnsi="Times New Roman" w:cs="Times New Roman"/>
          <w:sz w:val="24"/>
          <w:szCs w:val="24"/>
        </w:rPr>
        <w:t xml:space="preserve"> the </w:t>
      </w:r>
      <w:r w:rsidRPr="001C061F">
        <w:rPr>
          <w:rFonts w:ascii="Times New Roman" w:hAnsi="Times New Roman" w:cs="Times New Roman"/>
          <w:i/>
          <w:sz w:val="24"/>
          <w:szCs w:val="24"/>
        </w:rPr>
        <w:t>Indian Act</w:t>
      </w:r>
      <w:r w:rsidRPr="001C061F">
        <w:rPr>
          <w:rFonts w:ascii="Times New Roman" w:hAnsi="Times New Roman" w:cs="Times New Roman"/>
          <w:sz w:val="24"/>
          <w:szCs w:val="24"/>
        </w:rPr>
        <w:t>.  Following WWII, the federal government was under mounting pressure to provide essential services to First Nations</w:t>
      </w:r>
      <w:r>
        <w:rPr>
          <w:rFonts w:ascii="Times New Roman" w:hAnsi="Times New Roman" w:cs="Times New Roman"/>
          <w:sz w:val="24"/>
          <w:szCs w:val="24"/>
        </w:rPr>
        <w:t>,</w:t>
      </w:r>
      <w:r w:rsidRPr="001C061F">
        <w:rPr>
          <w:rFonts w:ascii="Times New Roman" w:hAnsi="Times New Roman" w:cs="Times New Roman"/>
          <w:sz w:val="24"/>
          <w:szCs w:val="24"/>
        </w:rPr>
        <w:t xml:space="preserve"> and it appears that </w:t>
      </w:r>
      <w:r w:rsidR="009A4F6F">
        <w:rPr>
          <w:rFonts w:ascii="Times New Roman" w:hAnsi="Times New Roman" w:cs="Times New Roman"/>
          <w:sz w:val="24"/>
          <w:szCs w:val="24"/>
        </w:rPr>
        <w:t>s 88</w:t>
      </w:r>
      <w:r w:rsidRPr="001C061F">
        <w:rPr>
          <w:rFonts w:ascii="Times New Roman" w:hAnsi="Times New Roman" w:cs="Times New Roman"/>
          <w:sz w:val="24"/>
          <w:szCs w:val="24"/>
        </w:rPr>
        <w:t xml:space="preserve"> was a unilateral attempt to delegate this responsibility to the province</w:t>
      </w:r>
      <w:r>
        <w:rPr>
          <w:rFonts w:ascii="Times New Roman" w:hAnsi="Times New Roman" w:cs="Times New Roman"/>
          <w:sz w:val="24"/>
          <w:szCs w:val="24"/>
        </w:rPr>
        <w:t>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r w:rsidRPr="004E7110">
        <w:rPr>
          <w:rFonts w:ascii="Times New Roman" w:hAnsi="Times New Roman" w:cs="Times New Roman"/>
          <w:sz w:val="24"/>
          <w:szCs w:val="24"/>
        </w:rPr>
        <w:t>Generally, the provinces did not accept this delegation where it required the expenditure of money for service delivery.  Instead, they insisted on cost-sharing arrangements with the federal government, where Canada absorbed all or the majority of costs, b</w:t>
      </w:r>
      <w:r>
        <w:rPr>
          <w:rFonts w:ascii="Times New Roman" w:hAnsi="Times New Roman" w:cs="Times New Roman"/>
          <w:sz w:val="24"/>
          <w:szCs w:val="24"/>
        </w:rPr>
        <w:t>efore extending services.  T</w:t>
      </w:r>
      <w:r w:rsidRPr="004E7110">
        <w:rPr>
          <w:rFonts w:ascii="Times New Roman" w:hAnsi="Times New Roman" w:cs="Times New Roman"/>
          <w:sz w:val="24"/>
          <w:szCs w:val="24"/>
        </w:rPr>
        <w:t>his occurred only in a limited number of areas, namely</w:t>
      </w:r>
      <w:r>
        <w:rPr>
          <w:rFonts w:ascii="Times New Roman" w:hAnsi="Times New Roman" w:cs="Times New Roman"/>
          <w:sz w:val="24"/>
          <w:szCs w:val="24"/>
        </w:rPr>
        <w:t>,</w:t>
      </w:r>
      <w:r w:rsidRPr="004E7110">
        <w:rPr>
          <w:rFonts w:ascii="Times New Roman" w:hAnsi="Times New Roman" w:cs="Times New Roman"/>
          <w:sz w:val="24"/>
          <w:szCs w:val="24"/>
        </w:rPr>
        <w:t xml:space="preserve"> child welfare, policing (in the 1990s), and</w:t>
      </w:r>
      <w:r>
        <w:rPr>
          <w:rFonts w:ascii="Times New Roman" w:hAnsi="Times New Roman" w:cs="Times New Roman"/>
          <w:sz w:val="24"/>
          <w:szCs w:val="24"/>
        </w:rPr>
        <w:t>,</w:t>
      </w:r>
      <w:r w:rsidRPr="004E7110">
        <w:rPr>
          <w:rFonts w:ascii="Times New Roman" w:hAnsi="Times New Roman" w:cs="Times New Roman"/>
          <w:sz w:val="24"/>
          <w:szCs w:val="24"/>
        </w:rPr>
        <w:t xml:space="preserve"> in Ontario, social assistance.  </w:t>
      </w:r>
    </w:p>
    <w:p w14:paraId="66A30882" w14:textId="77777777" w:rsidR="00B47858" w:rsidRPr="004E7110" w:rsidRDefault="00B47858" w:rsidP="00684B3E">
      <w:pPr>
        <w:pStyle w:val="ListParagraph"/>
        <w:rPr>
          <w:rFonts w:ascii="Times New Roman" w:hAnsi="Times New Roman" w:cs="Times New Roman"/>
          <w:sz w:val="24"/>
          <w:szCs w:val="24"/>
        </w:rPr>
      </w:pPr>
    </w:p>
    <w:p w14:paraId="52A9FA74" w14:textId="570E7A6F"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1C061F">
        <w:rPr>
          <w:rFonts w:ascii="Times New Roman" w:hAnsi="Times New Roman" w:cs="Times New Roman"/>
          <w:sz w:val="24"/>
          <w:szCs w:val="24"/>
        </w:rPr>
        <w:t>The resulting jurisdictional arrangement in these circumstances is complex. There is an agreement between the federal government and provincial government</w:t>
      </w:r>
      <w:r>
        <w:rPr>
          <w:rFonts w:ascii="Times New Roman" w:hAnsi="Times New Roman" w:cs="Times New Roman"/>
          <w:sz w:val="24"/>
          <w:szCs w:val="24"/>
        </w:rPr>
        <w:t>s</w:t>
      </w:r>
      <w:r w:rsidRPr="001C061F">
        <w:rPr>
          <w:rFonts w:ascii="Times New Roman" w:hAnsi="Times New Roman" w:cs="Times New Roman"/>
          <w:sz w:val="24"/>
          <w:szCs w:val="24"/>
        </w:rPr>
        <w:t xml:space="preserve"> for extension of provincial laws and services to First Nations in exchange for full or majority federal funding.  Often the federal government will also have funding agreements with First Nations to deliver these services (either through the Band administration or agencies) in accordance with provincial laws (a phenomenon known as ‘program devolution’).  Sometimes, provincial governments will also have </w:t>
      </w:r>
      <w:r w:rsidRPr="001C061F">
        <w:rPr>
          <w:rFonts w:ascii="Times New Roman" w:hAnsi="Times New Roman" w:cs="Times New Roman"/>
          <w:sz w:val="24"/>
          <w:szCs w:val="24"/>
        </w:rPr>
        <w:lastRenderedPageBreak/>
        <w:t>agreements to recognize First Nations services agencies, like the NIL/</w:t>
      </w:r>
      <w:proofErr w:type="gramStart"/>
      <w:r w:rsidRPr="001C061F">
        <w:rPr>
          <w:rFonts w:ascii="Times New Roman" w:hAnsi="Times New Roman" w:cs="Times New Roman"/>
          <w:sz w:val="24"/>
          <w:szCs w:val="24"/>
        </w:rPr>
        <w:t>TU,O</w:t>
      </w:r>
      <w:proofErr w:type="gramEnd"/>
      <w:r w:rsidRPr="001C061F">
        <w:rPr>
          <w:rFonts w:ascii="Times New Roman" w:hAnsi="Times New Roman" w:cs="Times New Roman"/>
          <w:sz w:val="24"/>
          <w:szCs w:val="24"/>
        </w:rPr>
        <w:t xml:space="preserve"> and Native Child</w:t>
      </w:r>
      <w:r>
        <w:rPr>
          <w:rFonts w:ascii="Times New Roman" w:hAnsi="Times New Roman" w:cs="Times New Roman"/>
          <w:sz w:val="24"/>
          <w:szCs w:val="24"/>
        </w:rPr>
        <w:t>,</w:t>
      </w:r>
      <w:r w:rsidRPr="001C061F">
        <w:rPr>
          <w:rFonts w:ascii="Times New Roman" w:hAnsi="Times New Roman" w:cs="Times New Roman"/>
          <w:sz w:val="24"/>
          <w:szCs w:val="24"/>
        </w:rPr>
        <w:t xml:space="preserve"> as designated service providers under provincial laws.</w:t>
      </w:r>
      <w:r>
        <w:rPr>
          <w:rStyle w:val="FootnoteReference"/>
          <w:rFonts w:ascii="Times New Roman" w:hAnsi="Times New Roman" w:cs="Times New Roman"/>
          <w:sz w:val="24"/>
          <w:szCs w:val="24"/>
        </w:rPr>
        <w:footnoteReference w:id="42"/>
      </w:r>
    </w:p>
    <w:p w14:paraId="08DF9E12" w14:textId="77777777" w:rsidR="00B47858" w:rsidRDefault="00B47858" w:rsidP="00684B3E">
      <w:pPr>
        <w:pStyle w:val="ListParagraph"/>
        <w:tabs>
          <w:tab w:val="left" w:pos="1168"/>
        </w:tabs>
        <w:ind w:left="0"/>
        <w:jc w:val="both"/>
        <w:rPr>
          <w:rFonts w:ascii="Times New Roman" w:hAnsi="Times New Roman" w:cs="Times New Roman"/>
          <w:sz w:val="24"/>
          <w:szCs w:val="24"/>
        </w:rPr>
      </w:pPr>
    </w:p>
    <w:p w14:paraId="638B4640" w14:textId="6DB07761"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1C061F">
        <w:rPr>
          <w:rFonts w:ascii="Times New Roman" w:hAnsi="Times New Roman" w:cs="Times New Roman"/>
          <w:sz w:val="24"/>
          <w:szCs w:val="24"/>
        </w:rPr>
        <w:t xml:space="preserve">In those areas where provinces </w:t>
      </w:r>
      <w:r w:rsidR="00193EE7">
        <w:rPr>
          <w:rFonts w:ascii="Times New Roman" w:hAnsi="Times New Roman" w:cs="Times New Roman"/>
          <w:sz w:val="24"/>
          <w:szCs w:val="24"/>
        </w:rPr>
        <w:t>have been</w:t>
      </w:r>
      <w:r w:rsidRPr="001C061F">
        <w:rPr>
          <w:rFonts w:ascii="Times New Roman" w:hAnsi="Times New Roman" w:cs="Times New Roman"/>
          <w:sz w:val="24"/>
          <w:szCs w:val="24"/>
        </w:rPr>
        <w:t xml:space="preserve"> unwilling to extend their services to First Nation</w:t>
      </w:r>
      <w:r>
        <w:rPr>
          <w:rFonts w:ascii="Times New Roman" w:hAnsi="Times New Roman" w:cs="Times New Roman"/>
          <w:sz w:val="24"/>
          <w:szCs w:val="24"/>
        </w:rPr>
        <w:t>s,</w:t>
      </w:r>
      <w:r w:rsidRPr="001C061F">
        <w:rPr>
          <w:rFonts w:ascii="Times New Roman" w:hAnsi="Times New Roman" w:cs="Times New Roman"/>
          <w:sz w:val="24"/>
          <w:szCs w:val="24"/>
        </w:rPr>
        <w:t xml:space="preserve"> such as in the case of social assistance, assisted living</w:t>
      </w:r>
      <w:r>
        <w:rPr>
          <w:rFonts w:ascii="Times New Roman" w:hAnsi="Times New Roman" w:cs="Times New Roman"/>
          <w:sz w:val="24"/>
          <w:szCs w:val="24"/>
        </w:rPr>
        <w:t>,</w:t>
      </w:r>
      <w:r w:rsidRPr="001C061F">
        <w:rPr>
          <w:rFonts w:ascii="Times New Roman" w:hAnsi="Times New Roman" w:cs="Times New Roman"/>
          <w:sz w:val="24"/>
          <w:szCs w:val="24"/>
        </w:rPr>
        <w:t xml:space="preserve"> water, health services, emergency services, and ho</w:t>
      </w:r>
      <w:r>
        <w:rPr>
          <w:rFonts w:ascii="Times New Roman" w:hAnsi="Times New Roman" w:cs="Times New Roman"/>
          <w:sz w:val="24"/>
          <w:szCs w:val="24"/>
        </w:rPr>
        <w:t xml:space="preserve">using, the federal government </w:t>
      </w:r>
      <w:r w:rsidR="00193EE7">
        <w:rPr>
          <w:rFonts w:ascii="Times New Roman" w:hAnsi="Times New Roman" w:cs="Times New Roman"/>
          <w:sz w:val="24"/>
          <w:szCs w:val="24"/>
        </w:rPr>
        <w:t>has been</w:t>
      </w:r>
      <w:r w:rsidR="00193EE7" w:rsidRPr="001C061F">
        <w:rPr>
          <w:rFonts w:ascii="Times New Roman" w:hAnsi="Times New Roman" w:cs="Times New Roman"/>
          <w:sz w:val="24"/>
          <w:szCs w:val="24"/>
        </w:rPr>
        <w:t xml:space="preserve"> </w:t>
      </w:r>
      <w:r w:rsidRPr="001C061F">
        <w:rPr>
          <w:rFonts w:ascii="Times New Roman" w:hAnsi="Times New Roman" w:cs="Times New Roman"/>
          <w:sz w:val="24"/>
          <w:szCs w:val="24"/>
        </w:rPr>
        <w:t xml:space="preserve">left to provide such services to First Nations across the country.  Canada </w:t>
      </w:r>
      <w:r w:rsidR="00193EE7">
        <w:rPr>
          <w:rFonts w:ascii="Times New Roman" w:hAnsi="Times New Roman" w:cs="Times New Roman"/>
          <w:sz w:val="24"/>
          <w:szCs w:val="24"/>
        </w:rPr>
        <w:t>has done</w:t>
      </w:r>
      <w:r w:rsidRPr="001C061F">
        <w:rPr>
          <w:rFonts w:ascii="Times New Roman" w:hAnsi="Times New Roman" w:cs="Times New Roman"/>
          <w:sz w:val="24"/>
          <w:szCs w:val="24"/>
        </w:rPr>
        <w:t xml:space="preserve"> so begrudgingly; it resist</w:t>
      </w:r>
      <w:r w:rsidR="00193EE7">
        <w:rPr>
          <w:rFonts w:ascii="Times New Roman" w:hAnsi="Times New Roman" w:cs="Times New Roman"/>
          <w:sz w:val="24"/>
          <w:szCs w:val="24"/>
        </w:rPr>
        <w:t>s</w:t>
      </w:r>
      <w:r w:rsidRPr="001C061F">
        <w:rPr>
          <w:rFonts w:ascii="Times New Roman" w:hAnsi="Times New Roman" w:cs="Times New Roman"/>
          <w:sz w:val="24"/>
          <w:szCs w:val="24"/>
        </w:rPr>
        <w:t xml:space="preserve"> adopting clear legislative standards for fear of appearing to have accepted jurisdiction over such areas.  Instead, the federal government</w:t>
      </w:r>
      <w:r w:rsidR="00193EE7">
        <w:rPr>
          <w:rFonts w:ascii="Times New Roman" w:hAnsi="Times New Roman" w:cs="Times New Roman"/>
          <w:sz w:val="24"/>
          <w:szCs w:val="24"/>
        </w:rPr>
        <w:t xml:space="preserve"> has</w:t>
      </w:r>
      <w:r w:rsidRPr="001C061F">
        <w:rPr>
          <w:rFonts w:ascii="Times New Roman" w:hAnsi="Times New Roman" w:cs="Times New Roman"/>
          <w:sz w:val="24"/>
          <w:szCs w:val="24"/>
        </w:rPr>
        <w:t xml:space="preserve"> ‘regulated’ these areas by means of Treasury Board directives and policies and</w:t>
      </w:r>
      <w:r>
        <w:rPr>
          <w:rFonts w:ascii="Times New Roman" w:hAnsi="Times New Roman" w:cs="Times New Roman"/>
          <w:sz w:val="24"/>
          <w:szCs w:val="24"/>
        </w:rPr>
        <w:t>,</w:t>
      </w:r>
      <w:r w:rsidRPr="001C061F">
        <w:rPr>
          <w:rFonts w:ascii="Times New Roman" w:hAnsi="Times New Roman" w:cs="Times New Roman"/>
          <w:sz w:val="24"/>
          <w:szCs w:val="24"/>
        </w:rPr>
        <w:t xml:space="preserve"> later</w:t>
      </w:r>
      <w:r>
        <w:rPr>
          <w:rFonts w:ascii="Times New Roman" w:hAnsi="Times New Roman" w:cs="Times New Roman"/>
          <w:sz w:val="24"/>
          <w:szCs w:val="24"/>
        </w:rPr>
        <w:t>,</w:t>
      </w:r>
      <w:r w:rsidRPr="001C061F">
        <w:rPr>
          <w:rFonts w:ascii="Times New Roman" w:hAnsi="Times New Roman" w:cs="Times New Roman"/>
          <w:sz w:val="24"/>
          <w:szCs w:val="24"/>
        </w:rPr>
        <w:t xml:space="preserve"> funding agreements with First Nations to deliver such services themselves.  Often, the federal government </w:t>
      </w:r>
      <w:r w:rsidR="00193EE7">
        <w:rPr>
          <w:rFonts w:ascii="Times New Roman" w:hAnsi="Times New Roman" w:cs="Times New Roman"/>
          <w:sz w:val="24"/>
          <w:szCs w:val="24"/>
        </w:rPr>
        <w:t xml:space="preserve">has </w:t>
      </w:r>
      <w:r w:rsidRPr="001C061F">
        <w:rPr>
          <w:rFonts w:ascii="Times New Roman" w:hAnsi="Times New Roman" w:cs="Times New Roman"/>
          <w:sz w:val="24"/>
          <w:szCs w:val="24"/>
        </w:rPr>
        <w:t xml:space="preserve">simply imposed provincial standards via its policies </w:t>
      </w:r>
      <w:r>
        <w:rPr>
          <w:rFonts w:ascii="Times New Roman" w:hAnsi="Times New Roman" w:cs="Times New Roman"/>
          <w:sz w:val="24"/>
          <w:szCs w:val="24"/>
        </w:rPr>
        <w:t>for</w:t>
      </w:r>
      <w:r w:rsidRPr="001C061F">
        <w:rPr>
          <w:rFonts w:ascii="Times New Roman" w:hAnsi="Times New Roman" w:cs="Times New Roman"/>
          <w:sz w:val="24"/>
          <w:szCs w:val="24"/>
        </w:rPr>
        <w:t xml:space="preserve"> the delivery of service</w:t>
      </w:r>
      <w:r>
        <w:rPr>
          <w:rFonts w:ascii="Times New Roman" w:hAnsi="Times New Roman" w:cs="Times New Roman"/>
          <w:sz w:val="24"/>
          <w:szCs w:val="24"/>
        </w:rPr>
        <w:t>s</w:t>
      </w:r>
      <w:r w:rsidRPr="001C061F">
        <w:rPr>
          <w:rFonts w:ascii="Times New Roman" w:hAnsi="Times New Roman" w:cs="Times New Roman"/>
          <w:sz w:val="24"/>
          <w:szCs w:val="24"/>
        </w:rPr>
        <w:t xml:space="preserve"> on reserve</w:t>
      </w:r>
      <w:r>
        <w:rPr>
          <w:rFonts w:ascii="Times New Roman" w:hAnsi="Times New Roman" w:cs="Times New Roman"/>
          <w:sz w:val="24"/>
          <w:szCs w:val="24"/>
        </w:rPr>
        <w:t>,</w:t>
      </w:r>
      <w:r w:rsidRPr="001C061F">
        <w:rPr>
          <w:rFonts w:ascii="Times New Roman" w:hAnsi="Times New Roman" w:cs="Times New Roman"/>
          <w:sz w:val="24"/>
          <w:szCs w:val="24"/>
        </w:rPr>
        <w:t xml:space="preserve"> and First Nations </w:t>
      </w:r>
      <w:r w:rsidR="00193EE7">
        <w:rPr>
          <w:rFonts w:ascii="Times New Roman" w:hAnsi="Times New Roman" w:cs="Times New Roman"/>
          <w:sz w:val="24"/>
          <w:szCs w:val="24"/>
        </w:rPr>
        <w:t>have been</w:t>
      </w:r>
      <w:r w:rsidR="00193EE7" w:rsidRPr="001C061F">
        <w:rPr>
          <w:rFonts w:ascii="Times New Roman" w:hAnsi="Times New Roman" w:cs="Times New Roman"/>
          <w:sz w:val="24"/>
          <w:szCs w:val="24"/>
        </w:rPr>
        <w:t xml:space="preserve"> </w:t>
      </w:r>
      <w:r w:rsidRPr="001C061F">
        <w:rPr>
          <w:rFonts w:ascii="Times New Roman" w:hAnsi="Times New Roman" w:cs="Times New Roman"/>
          <w:sz w:val="24"/>
          <w:szCs w:val="24"/>
        </w:rPr>
        <w:t xml:space="preserve">bound to follow these as a term of their </w:t>
      </w:r>
      <w:r>
        <w:rPr>
          <w:rFonts w:ascii="Times New Roman" w:hAnsi="Times New Roman" w:cs="Times New Roman"/>
          <w:sz w:val="24"/>
          <w:szCs w:val="24"/>
        </w:rPr>
        <w:t>funding agreements</w:t>
      </w:r>
      <w:r w:rsidRPr="001C061F">
        <w:rPr>
          <w:rFonts w:ascii="Times New Roman" w:eastAsia="Calibri" w:hAnsi="Times New Roman" w:cs="Times New Roman"/>
          <w:sz w:val="24"/>
          <w:szCs w:val="24"/>
          <w:lang w:val="en-US"/>
        </w:rPr>
        <w:t>.</w:t>
      </w:r>
      <w:r>
        <w:rPr>
          <w:rStyle w:val="FootnoteReference"/>
          <w:rFonts w:ascii="Times New Roman" w:eastAsia="Calibri" w:hAnsi="Times New Roman" w:cs="Times New Roman"/>
          <w:sz w:val="24"/>
          <w:szCs w:val="24"/>
          <w:lang w:val="en-US"/>
        </w:rPr>
        <w:footnoteReference w:id="43"/>
      </w:r>
      <w:r w:rsidRPr="001C061F">
        <w:rPr>
          <w:rFonts w:ascii="Times New Roman" w:hAnsi="Times New Roman" w:cs="Times New Roman"/>
          <w:sz w:val="24"/>
          <w:szCs w:val="24"/>
        </w:rPr>
        <w:t xml:space="preserve">  </w:t>
      </w:r>
    </w:p>
    <w:p w14:paraId="32498E1A" w14:textId="77777777" w:rsidR="00B47858" w:rsidRPr="00E414FE" w:rsidRDefault="00B47858" w:rsidP="00684B3E">
      <w:pPr>
        <w:pStyle w:val="ListParagraph"/>
        <w:rPr>
          <w:rFonts w:ascii="Times New Roman" w:hAnsi="Times New Roman" w:cs="Times New Roman"/>
          <w:sz w:val="24"/>
          <w:szCs w:val="24"/>
        </w:rPr>
      </w:pPr>
    </w:p>
    <w:p w14:paraId="3C4A67A7" w14:textId="4C597965"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E414FE">
        <w:rPr>
          <w:rFonts w:ascii="Times New Roman" w:hAnsi="Times New Roman" w:cs="Times New Roman"/>
          <w:sz w:val="24"/>
          <w:szCs w:val="24"/>
        </w:rPr>
        <w:t xml:space="preserve">The above described ‘systems’ of </w:t>
      </w:r>
      <w:r>
        <w:rPr>
          <w:rFonts w:ascii="Times New Roman" w:hAnsi="Times New Roman" w:cs="Times New Roman"/>
          <w:sz w:val="24"/>
          <w:szCs w:val="24"/>
        </w:rPr>
        <w:t xml:space="preserve">the delivery of </w:t>
      </w:r>
      <w:r w:rsidRPr="00E414FE">
        <w:rPr>
          <w:rFonts w:ascii="Times New Roman" w:hAnsi="Times New Roman" w:cs="Times New Roman"/>
          <w:sz w:val="24"/>
          <w:szCs w:val="24"/>
        </w:rPr>
        <w:t xml:space="preserve">essential </w:t>
      </w:r>
      <w:r>
        <w:rPr>
          <w:rFonts w:ascii="Times New Roman" w:hAnsi="Times New Roman" w:cs="Times New Roman"/>
          <w:sz w:val="24"/>
          <w:szCs w:val="24"/>
        </w:rPr>
        <w:t>services to First Nations have</w:t>
      </w:r>
      <w:r w:rsidRPr="00E414FE">
        <w:rPr>
          <w:rFonts w:ascii="Times New Roman" w:hAnsi="Times New Roman" w:cs="Times New Roman"/>
          <w:sz w:val="24"/>
          <w:szCs w:val="24"/>
        </w:rPr>
        <w:t xml:space="preserve"> been criticized by scholars and the Auditor General of Canada as being confusing, developed without consultation with First Nations, </w:t>
      </w:r>
      <w:r>
        <w:rPr>
          <w:rFonts w:ascii="Times New Roman" w:hAnsi="Times New Roman" w:cs="Times New Roman"/>
          <w:sz w:val="24"/>
          <w:szCs w:val="24"/>
        </w:rPr>
        <w:t xml:space="preserve">largely </w:t>
      </w:r>
      <w:r w:rsidRPr="00E414FE">
        <w:rPr>
          <w:rFonts w:ascii="Times New Roman" w:hAnsi="Times New Roman" w:cs="Times New Roman"/>
          <w:sz w:val="24"/>
          <w:szCs w:val="24"/>
        </w:rPr>
        <w:t>excluding First Nations from policy development, being assimilative in nature</w:t>
      </w:r>
      <w:r>
        <w:rPr>
          <w:rFonts w:ascii="Times New Roman" w:hAnsi="Times New Roman" w:cs="Times New Roman"/>
          <w:sz w:val="24"/>
          <w:szCs w:val="24"/>
        </w:rPr>
        <w:t xml:space="preserve">, </w:t>
      </w:r>
      <w:r w:rsidRPr="00E414FE">
        <w:rPr>
          <w:rFonts w:ascii="Times New Roman" w:hAnsi="Times New Roman" w:cs="Times New Roman"/>
          <w:sz w:val="24"/>
          <w:szCs w:val="24"/>
        </w:rPr>
        <w:t>not responsive to First Nations</w:t>
      </w:r>
      <w:r>
        <w:rPr>
          <w:rFonts w:ascii="Times New Roman" w:hAnsi="Times New Roman" w:cs="Times New Roman"/>
          <w:sz w:val="24"/>
          <w:szCs w:val="24"/>
        </w:rPr>
        <w:t>’</w:t>
      </w:r>
      <w:r w:rsidRPr="00E414FE">
        <w:rPr>
          <w:rFonts w:ascii="Times New Roman" w:hAnsi="Times New Roman" w:cs="Times New Roman"/>
          <w:sz w:val="24"/>
          <w:szCs w:val="24"/>
        </w:rPr>
        <w:t xml:space="preserve"> particular needs and circumstances, not an adequate substitute for self-government, allowing for systemic underfunding and under</w:t>
      </w:r>
      <w:r>
        <w:rPr>
          <w:rFonts w:ascii="Times New Roman" w:hAnsi="Times New Roman" w:cs="Times New Roman"/>
          <w:sz w:val="24"/>
          <w:szCs w:val="24"/>
        </w:rPr>
        <w:t>-</w:t>
      </w:r>
      <w:r w:rsidRPr="00E414FE">
        <w:rPr>
          <w:rFonts w:ascii="Times New Roman" w:hAnsi="Times New Roman" w:cs="Times New Roman"/>
          <w:sz w:val="24"/>
          <w:szCs w:val="24"/>
        </w:rPr>
        <w:t>servicing of First Nations</w:t>
      </w:r>
      <w:r>
        <w:rPr>
          <w:rFonts w:ascii="Times New Roman" w:hAnsi="Times New Roman" w:cs="Times New Roman"/>
          <w:sz w:val="24"/>
          <w:szCs w:val="24"/>
        </w:rPr>
        <w:t>’</w:t>
      </w:r>
      <w:r w:rsidRPr="00E414FE">
        <w:rPr>
          <w:rFonts w:ascii="Times New Roman" w:hAnsi="Times New Roman" w:cs="Times New Roman"/>
          <w:sz w:val="24"/>
          <w:szCs w:val="24"/>
        </w:rPr>
        <w:t xml:space="preserve"> essential services, mak</w:t>
      </w:r>
      <w:r>
        <w:rPr>
          <w:rFonts w:ascii="Times New Roman" w:hAnsi="Times New Roman" w:cs="Times New Roman"/>
          <w:sz w:val="24"/>
          <w:szCs w:val="24"/>
        </w:rPr>
        <w:t>ing</w:t>
      </w:r>
      <w:r w:rsidRPr="00E414FE">
        <w:rPr>
          <w:rFonts w:ascii="Times New Roman" w:hAnsi="Times New Roman" w:cs="Times New Roman"/>
          <w:sz w:val="24"/>
          <w:szCs w:val="24"/>
        </w:rPr>
        <w:t xml:space="preserve"> it difficult to hold </w:t>
      </w:r>
      <w:r>
        <w:rPr>
          <w:rFonts w:ascii="Times New Roman" w:hAnsi="Times New Roman" w:cs="Times New Roman"/>
          <w:sz w:val="24"/>
          <w:szCs w:val="24"/>
        </w:rPr>
        <w:t xml:space="preserve">federal and provincial </w:t>
      </w:r>
      <w:r w:rsidRPr="00E414FE">
        <w:rPr>
          <w:rFonts w:ascii="Times New Roman" w:hAnsi="Times New Roman" w:cs="Times New Roman"/>
          <w:sz w:val="24"/>
          <w:szCs w:val="24"/>
        </w:rPr>
        <w:t>governments accountable, and preventing First Nation access to justice in the case of disputes over service delivery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p>
    <w:p w14:paraId="192141EE" w14:textId="77777777" w:rsidR="00B47858" w:rsidRDefault="00B47858" w:rsidP="00684B3E">
      <w:pPr>
        <w:pStyle w:val="ListParagraph"/>
        <w:tabs>
          <w:tab w:val="left" w:pos="1168"/>
        </w:tabs>
        <w:ind w:left="0"/>
        <w:jc w:val="both"/>
        <w:rPr>
          <w:rFonts w:ascii="Times New Roman" w:hAnsi="Times New Roman" w:cs="Times New Roman"/>
          <w:sz w:val="24"/>
          <w:szCs w:val="24"/>
        </w:rPr>
      </w:pPr>
    </w:p>
    <w:p w14:paraId="34E40EF2" w14:textId="30712EBF" w:rsidR="00B47858" w:rsidRPr="00E414FE" w:rsidRDefault="00B47858" w:rsidP="00684B3E">
      <w:pPr>
        <w:pStyle w:val="ListParagraph"/>
        <w:numPr>
          <w:ilvl w:val="0"/>
          <w:numId w:val="1"/>
        </w:numPr>
        <w:ind w:left="0" w:firstLine="0"/>
        <w:jc w:val="both"/>
        <w:rPr>
          <w:rFonts w:ascii="Times New Roman" w:hAnsi="Times New Roman" w:cs="Times New Roman"/>
          <w:sz w:val="24"/>
          <w:szCs w:val="24"/>
        </w:rPr>
      </w:pPr>
      <w:r w:rsidRPr="00E414FE">
        <w:rPr>
          <w:rFonts w:ascii="Times New Roman" w:hAnsi="Times New Roman" w:cs="Times New Roman"/>
          <w:sz w:val="24"/>
          <w:szCs w:val="24"/>
        </w:rPr>
        <w:t>In our view, there is a direct lin</w:t>
      </w:r>
      <w:r>
        <w:rPr>
          <w:rFonts w:ascii="Times New Roman" w:hAnsi="Times New Roman" w:cs="Times New Roman"/>
          <w:sz w:val="24"/>
          <w:szCs w:val="24"/>
        </w:rPr>
        <w:t xml:space="preserve">k </w:t>
      </w:r>
      <w:r w:rsidRPr="00E414FE">
        <w:rPr>
          <w:rFonts w:ascii="Times New Roman" w:hAnsi="Times New Roman" w:cs="Times New Roman"/>
          <w:sz w:val="24"/>
          <w:szCs w:val="24"/>
        </w:rPr>
        <w:t>between these various problems and harms attributed to the above described ‘systems’ and the current approach</w:t>
      </w:r>
      <w:r>
        <w:rPr>
          <w:rFonts w:ascii="Times New Roman" w:hAnsi="Times New Roman" w:cs="Times New Roman"/>
          <w:sz w:val="24"/>
          <w:szCs w:val="24"/>
        </w:rPr>
        <w:t>es</w:t>
      </w:r>
      <w:r w:rsidRPr="00E414FE">
        <w:rPr>
          <w:rFonts w:ascii="Times New Roman" w:hAnsi="Times New Roman" w:cs="Times New Roman"/>
          <w:sz w:val="24"/>
          <w:szCs w:val="24"/>
        </w:rPr>
        <w:t xml:space="preserve"> to </w:t>
      </w:r>
      <w:r w:rsidR="002B4063">
        <w:rPr>
          <w:rFonts w:ascii="Times New Roman" w:hAnsi="Times New Roman" w:cs="Times New Roman"/>
          <w:sz w:val="24"/>
          <w:szCs w:val="24"/>
        </w:rPr>
        <w:t>s 91</w:t>
      </w:r>
      <w:r w:rsidRPr="00E414FE">
        <w:rPr>
          <w:rFonts w:ascii="Times New Roman" w:hAnsi="Times New Roman" w:cs="Times New Roman"/>
          <w:sz w:val="24"/>
          <w:szCs w:val="24"/>
        </w:rPr>
        <w:t xml:space="preserve">(24), </w:t>
      </w:r>
      <w:r w:rsidR="009A4F6F">
        <w:rPr>
          <w:rFonts w:ascii="Times New Roman" w:hAnsi="Times New Roman" w:cs="Times New Roman"/>
          <w:sz w:val="24"/>
          <w:szCs w:val="24"/>
        </w:rPr>
        <w:t>s 88</w:t>
      </w:r>
      <w:r>
        <w:rPr>
          <w:rFonts w:ascii="Times New Roman" w:hAnsi="Times New Roman" w:cs="Times New Roman"/>
          <w:sz w:val="24"/>
          <w:szCs w:val="24"/>
        </w:rPr>
        <w:t xml:space="preserve"> of the </w:t>
      </w:r>
      <w:r>
        <w:rPr>
          <w:rFonts w:ascii="Times New Roman" w:hAnsi="Times New Roman" w:cs="Times New Roman"/>
          <w:i/>
          <w:iCs/>
          <w:sz w:val="24"/>
          <w:szCs w:val="24"/>
        </w:rPr>
        <w:t>Indian Act</w:t>
      </w:r>
      <w:r>
        <w:rPr>
          <w:rFonts w:ascii="Times New Roman" w:hAnsi="Times New Roman" w:cs="Times New Roman"/>
          <w:sz w:val="24"/>
          <w:szCs w:val="24"/>
        </w:rPr>
        <w:t>,</w:t>
      </w:r>
      <w:r w:rsidRPr="00E414FE">
        <w:rPr>
          <w:rFonts w:ascii="Times New Roman" w:hAnsi="Times New Roman" w:cs="Times New Roman"/>
          <w:sz w:val="24"/>
          <w:szCs w:val="24"/>
        </w:rPr>
        <w:t xml:space="preserve"> and </w:t>
      </w:r>
      <w:r w:rsidRPr="00E414FE">
        <w:rPr>
          <w:rFonts w:ascii="Times New Roman" w:hAnsi="Times New Roman" w:cs="Times New Roman"/>
          <w:sz w:val="24"/>
          <w:szCs w:val="24"/>
        </w:rPr>
        <w:lastRenderedPageBreak/>
        <w:t>the SCC’s ‘</w:t>
      </w:r>
      <w:proofErr w:type="spellStart"/>
      <w:r w:rsidRPr="00E414FE">
        <w:rPr>
          <w:rFonts w:ascii="Times New Roman" w:hAnsi="Times New Roman" w:cs="Times New Roman"/>
          <w:sz w:val="24"/>
          <w:szCs w:val="24"/>
        </w:rPr>
        <w:t>constitutionalization</w:t>
      </w:r>
      <w:proofErr w:type="spellEnd"/>
      <w:r w:rsidRPr="00E414FE">
        <w:rPr>
          <w:rFonts w:ascii="Times New Roman" w:hAnsi="Times New Roman" w:cs="Times New Roman"/>
          <w:sz w:val="24"/>
          <w:szCs w:val="24"/>
        </w:rPr>
        <w:t xml:space="preserve">’ </w:t>
      </w:r>
      <w:r w:rsidR="00907213" w:rsidRPr="00907213">
        <w:rPr>
          <w:rFonts w:ascii="Times New Roman" w:hAnsi="Times New Roman" w:cs="Times New Roman"/>
          <w:sz w:val="24"/>
          <w:szCs w:val="24"/>
        </w:rPr>
        <w:t xml:space="preserve">in </w:t>
      </w:r>
      <w:r w:rsidR="00907213" w:rsidRPr="00907213">
        <w:rPr>
          <w:rFonts w:ascii="Times New Roman" w:hAnsi="Times New Roman" w:cs="Times New Roman"/>
          <w:i/>
          <w:iCs/>
          <w:sz w:val="24"/>
          <w:szCs w:val="24"/>
        </w:rPr>
        <w:t>Dick</w:t>
      </w:r>
      <w:r w:rsidR="00907213" w:rsidRPr="00907213">
        <w:rPr>
          <w:rFonts w:ascii="Times New Roman" w:hAnsi="Times New Roman" w:cs="Times New Roman"/>
          <w:sz w:val="24"/>
          <w:szCs w:val="24"/>
        </w:rPr>
        <w:t xml:space="preserve"> of the </w:t>
      </w:r>
      <w:r w:rsidR="009A4F6F">
        <w:rPr>
          <w:rFonts w:ascii="Times New Roman" w:hAnsi="Times New Roman" w:cs="Times New Roman"/>
          <w:sz w:val="24"/>
          <w:szCs w:val="24"/>
        </w:rPr>
        <w:t>s 88</w:t>
      </w:r>
      <w:r w:rsidR="00907213" w:rsidRPr="00907213">
        <w:rPr>
          <w:rFonts w:ascii="Times New Roman" w:hAnsi="Times New Roman" w:cs="Times New Roman"/>
          <w:sz w:val="24"/>
          <w:szCs w:val="24"/>
        </w:rPr>
        <w:t xml:space="preserve"> approach of transferring authority over “Indians” to the provinces</w:t>
      </w:r>
      <w:r w:rsidR="00907213" w:rsidRPr="00907213" w:rsidDel="00907213">
        <w:rPr>
          <w:rFonts w:ascii="Times New Roman" w:hAnsi="Times New Roman" w:cs="Times New Roman"/>
          <w:sz w:val="24"/>
          <w:szCs w:val="24"/>
        </w:rPr>
        <w:t xml:space="preserve"> </w:t>
      </w:r>
      <w:r w:rsidRPr="00E414FE">
        <w:rPr>
          <w:rFonts w:ascii="Times New Roman" w:hAnsi="Times New Roman" w:cs="Times New Roman"/>
          <w:i/>
          <w:sz w:val="24"/>
          <w:szCs w:val="24"/>
        </w:rPr>
        <w:t>.</w:t>
      </w:r>
      <w:r>
        <w:rPr>
          <w:rFonts w:ascii="Times New Roman" w:hAnsi="Times New Roman" w:cs="Times New Roman"/>
          <w:sz w:val="24"/>
          <w:szCs w:val="24"/>
        </w:rPr>
        <w:t xml:space="preserve">  This is illustrated clearly in the case of child welfare, which we discuss further below.</w:t>
      </w:r>
    </w:p>
    <w:p w14:paraId="1376DDC8" w14:textId="77777777" w:rsidR="00B47858" w:rsidRPr="00E414FE" w:rsidRDefault="00B47858" w:rsidP="00684B3E">
      <w:pPr>
        <w:pStyle w:val="ListParagraph"/>
        <w:rPr>
          <w:rFonts w:ascii="Times New Roman" w:hAnsi="Times New Roman" w:cs="Times New Roman"/>
          <w:sz w:val="24"/>
          <w:szCs w:val="24"/>
        </w:rPr>
      </w:pPr>
    </w:p>
    <w:p w14:paraId="19214FBB" w14:textId="2A242C93" w:rsidR="00B47858" w:rsidRPr="00C72D07" w:rsidRDefault="00B47858" w:rsidP="00F84132">
      <w:pPr>
        <w:pStyle w:val="ListParagraph"/>
        <w:numPr>
          <w:ilvl w:val="0"/>
          <w:numId w:val="1"/>
        </w:numPr>
        <w:spacing w:after="1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W</w:t>
      </w:r>
      <w:r w:rsidRPr="00E414FE">
        <w:rPr>
          <w:rFonts w:ascii="Times New Roman" w:hAnsi="Times New Roman" w:cs="Times New Roman"/>
          <w:sz w:val="24"/>
          <w:szCs w:val="24"/>
        </w:rPr>
        <w:t xml:space="preserve">e note </w:t>
      </w:r>
      <w:r>
        <w:rPr>
          <w:rFonts w:ascii="Times New Roman" w:hAnsi="Times New Roman" w:cs="Times New Roman"/>
          <w:sz w:val="24"/>
          <w:szCs w:val="24"/>
        </w:rPr>
        <w:t xml:space="preserve">that </w:t>
      </w:r>
      <w:r w:rsidRPr="00E414FE">
        <w:rPr>
          <w:rFonts w:ascii="Times New Roman" w:hAnsi="Times New Roman" w:cs="Times New Roman"/>
          <w:sz w:val="24"/>
          <w:szCs w:val="24"/>
        </w:rPr>
        <w:t xml:space="preserve">the recent report of the National Inquiry into Missing and Murdered Indigenous Women and Girls linked jurisdictional neglect and lack of cooperation between governments as a key contributor to the poverty experienced </w:t>
      </w:r>
      <w:r>
        <w:rPr>
          <w:rFonts w:ascii="Times New Roman" w:hAnsi="Times New Roman" w:cs="Times New Roman"/>
          <w:sz w:val="24"/>
          <w:szCs w:val="24"/>
        </w:rPr>
        <w:t xml:space="preserve">by </w:t>
      </w:r>
      <w:r w:rsidRPr="00E414FE">
        <w:rPr>
          <w:rFonts w:ascii="Times New Roman" w:hAnsi="Times New Roman" w:cs="Times New Roman"/>
          <w:sz w:val="24"/>
          <w:szCs w:val="24"/>
        </w:rPr>
        <w:t>Indigenous women which</w:t>
      </w:r>
      <w:r>
        <w:rPr>
          <w:rFonts w:ascii="Times New Roman" w:hAnsi="Times New Roman" w:cs="Times New Roman"/>
          <w:sz w:val="24"/>
          <w:szCs w:val="24"/>
        </w:rPr>
        <w:t>, in turn,</w:t>
      </w:r>
      <w:r w:rsidRPr="00E414FE">
        <w:rPr>
          <w:rFonts w:ascii="Times New Roman" w:hAnsi="Times New Roman" w:cs="Times New Roman"/>
          <w:sz w:val="24"/>
          <w:szCs w:val="24"/>
        </w:rPr>
        <w:t xml:space="preserve"> makes them vulnerable to becoming murdered and missing</w:t>
      </w:r>
      <w:r>
        <w:rPr>
          <w:rFonts w:ascii="Times New Roman" w:hAnsi="Times New Roman" w:cs="Times New Roman"/>
          <w:sz w:val="24"/>
          <w:szCs w:val="24"/>
        </w:rPr>
        <w:t>.  The National Inquiry goes so far as to assert</w:t>
      </w:r>
      <w:r w:rsidRPr="00E414FE">
        <w:rPr>
          <w:rFonts w:ascii="Times New Roman" w:hAnsi="Times New Roman" w:cs="Times New Roman"/>
          <w:sz w:val="24"/>
          <w:szCs w:val="24"/>
        </w:rPr>
        <w:t xml:space="preserve"> that the harms caused by jurisdictional neglect </w:t>
      </w:r>
      <w:r>
        <w:rPr>
          <w:rFonts w:ascii="Times New Roman" w:hAnsi="Times New Roman" w:cs="Times New Roman"/>
          <w:sz w:val="24"/>
          <w:szCs w:val="24"/>
        </w:rPr>
        <w:t xml:space="preserve">violate the </w:t>
      </w:r>
      <w:r w:rsidRPr="00E414FE">
        <w:rPr>
          <w:rFonts w:ascii="Times New Roman" w:hAnsi="Times New Roman" w:cs="Times New Roman"/>
          <w:sz w:val="24"/>
          <w:szCs w:val="24"/>
        </w:rPr>
        <w:t xml:space="preserve">s 7 </w:t>
      </w:r>
      <w:r w:rsidRPr="00E414FE">
        <w:rPr>
          <w:rFonts w:ascii="Times New Roman" w:hAnsi="Times New Roman" w:cs="Times New Roman"/>
          <w:i/>
          <w:sz w:val="24"/>
          <w:szCs w:val="24"/>
        </w:rPr>
        <w:t>Charter</w:t>
      </w:r>
      <w:r w:rsidRPr="00E414FE">
        <w:rPr>
          <w:rFonts w:ascii="Times New Roman" w:hAnsi="Times New Roman" w:cs="Times New Roman"/>
          <w:sz w:val="24"/>
          <w:szCs w:val="24"/>
        </w:rPr>
        <w:t xml:space="preserve"> rights to life, liberty</w:t>
      </w:r>
      <w:r>
        <w:rPr>
          <w:rFonts w:ascii="Times New Roman" w:hAnsi="Times New Roman" w:cs="Times New Roman"/>
          <w:sz w:val="24"/>
          <w:szCs w:val="24"/>
        </w:rPr>
        <w:t>,</w:t>
      </w:r>
      <w:r w:rsidRPr="00E414FE">
        <w:rPr>
          <w:rFonts w:ascii="Times New Roman" w:hAnsi="Times New Roman" w:cs="Times New Roman"/>
          <w:sz w:val="24"/>
          <w:szCs w:val="24"/>
        </w:rPr>
        <w:t xml:space="preserve"> and security of the person</w:t>
      </w:r>
      <w:r>
        <w:rPr>
          <w:rFonts w:ascii="Times New Roman" w:hAnsi="Times New Roman" w:cs="Times New Roman"/>
          <w:sz w:val="24"/>
          <w:szCs w:val="24"/>
        </w:rPr>
        <w:t xml:space="preserve"> of Indigenous women and girls</w:t>
      </w:r>
      <w:r w:rsidRPr="00E414FE">
        <w:rPr>
          <w:rFonts w:ascii="Times New Roman" w:hAnsi="Times New Roman" w:cs="Times New Roman"/>
          <w:sz w:val="24"/>
          <w:szCs w:val="24"/>
        </w:rPr>
        <w:t>:</w:t>
      </w:r>
    </w:p>
    <w:p w14:paraId="696DD489" w14:textId="7BA5EC71" w:rsidR="00B47858" w:rsidRPr="00F84132" w:rsidRDefault="00B47858" w:rsidP="00684B3E">
      <w:pPr>
        <w:tabs>
          <w:tab w:val="left" w:pos="1168"/>
        </w:tabs>
        <w:ind w:left="720"/>
        <w:jc w:val="both"/>
        <w:rPr>
          <w:rFonts w:ascii="Times New Roman" w:hAnsi="Times New Roman" w:cs="Times New Roman"/>
          <w:sz w:val="20"/>
          <w:szCs w:val="20"/>
        </w:rPr>
      </w:pPr>
      <w:r w:rsidRPr="00F84132">
        <w:rPr>
          <w:rFonts w:ascii="Times New Roman" w:hAnsi="Times New Roman" w:cs="Times New Roman"/>
          <w:sz w:val="20"/>
          <w:szCs w:val="20"/>
        </w:rPr>
        <w:t xml:space="preserve">Canada has failed, partially through a lack of interjurisdictional cooperation, to ensure that Indigenous Peoples have access to adequate resources and the supports necessary to have their human dignity, life, liberty, and security protected. As this report has already shown, </w:t>
      </w:r>
      <w:r w:rsidRPr="006E02C3">
        <w:rPr>
          <w:rFonts w:ascii="Times New Roman" w:hAnsi="Times New Roman" w:cs="Times New Roman"/>
          <w:i/>
          <w:iCs/>
          <w:sz w:val="20"/>
          <w:szCs w:val="20"/>
        </w:rPr>
        <w:t>the particular constitutional responsibilities for First Nations, associated with the long-time lack of constitutional recognition of other Indigenous groups, alongside the realities of provincial and territorial service delivery in key areas like education and health, have all resulted in a complicated jurisdictional landscape</w:t>
      </w:r>
      <w:r w:rsidRPr="00F84132">
        <w:rPr>
          <w:rFonts w:ascii="Times New Roman" w:hAnsi="Times New Roman" w:cs="Times New Roman"/>
          <w:sz w:val="20"/>
          <w:szCs w:val="20"/>
        </w:rPr>
        <w:t>.  The complexity of the landscape, however, doesn’t mean that rights can simply be ignored.</w:t>
      </w:r>
    </w:p>
    <w:p w14:paraId="006FEA8E" w14:textId="77777777" w:rsidR="00B47858" w:rsidRPr="00F84132" w:rsidRDefault="00B47858" w:rsidP="00684B3E">
      <w:pPr>
        <w:tabs>
          <w:tab w:val="left" w:pos="1168"/>
        </w:tabs>
        <w:ind w:left="720"/>
        <w:jc w:val="both"/>
        <w:rPr>
          <w:rFonts w:ascii="Times New Roman" w:hAnsi="Times New Roman" w:cs="Times New Roman"/>
          <w:sz w:val="20"/>
          <w:szCs w:val="20"/>
        </w:rPr>
      </w:pPr>
    </w:p>
    <w:p w14:paraId="3F6B0FAD" w14:textId="39A031BA" w:rsidR="00B47858" w:rsidRPr="00F84132" w:rsidRDefault="00B47858" w:rsidP="00684B3E">
      <w:pPr>
        <w:tabs>
          <w:tab w:val="left" w:pos="1168"/>
        </w:tabs>
        <w:ind w:left="720"/>
        <w:jc w:val="both"/>
        <w:rPr>
          <w:rFonts w:ascii="Times New Roman" w:hAnsi="Times New Roman" w:cs="Times New Roman"/>
          <w:sz w:val="20"/>
          <w:szCs w:val="20"/>
        </w:rPr>
      </w:pPr>
      <w:r w:rsidRPr="006E02C3">
        <w:rPr>
          <w:rFonts w:ascii="Times New Roman" w:hAnsi="Times New Roman" w:cs="Times New Roman"/>
          <w:i/>
          <w:iCs/>
          <w:sz w:val="20"/>
          <w:szCs w:val="20"/>
        </w:rPr>
        <w:t>Interjurisdictional neglect represents a breach of relationship and responsibility, as well as of a constitutionally protected section 7 Charter right to life, liberty, and security of the person</w:t>
      </w:r>
      <w:r w:rsidRPr="00F84132">
        <w:rPr>
          <w:rFonts w:ascii="Times New Roman" w:hAnsi="Times New Roman" w:cs="Times New Roman"/>
          <w:sz w:val="20"/>
          <w:szCs w:val="20"/>
        </w:rPr>
        <w:t>. Denials of protection and the failure of Canada to uphold these rights – specifically, the right to life for Indigenous women, girls, and 2SLGBTQQIA [Two-Spirit, lesbian, gay, bisexual, transgender, queer, questioning, intersex and asexual] people – are a breach of fundamental justice. These deficits, then, are about much more than the organization of services, or the specifics of their delivery: they are about the foundational right to life, liberty, and security of every Indigenous woman, girl, and 2SLGBTQQIA person.</w:t>
      </w:r>
      <w:r w:rsidRPr="00A64F38">
        <w:rPr>
          <w:rStyle w:val="FootnoteReference"/>
          <w:rFonts w:ascii="Times New Roman" w:hAnsi="Times New Roman" w:cs="Times New Roman"/>
          <w:sz w:val="20"/>
          <w:szCs w:val="20"/>
        </w:rPr>
        <w:footnoteReference w:id="45"/>
      </w:r>
      <w:r w:rsidRPr="00F84132">
        <w:rPr>
          <w:rFonts w:ascii="Times New Roman" w:hAnsi="Times New Roman" w:cs="Times New Roman"/>
          <w:sz w:val="24"/>
          <w:szCs w:val="24"/>
        </w:rPr>
        <w:t xml:space="preserve"> </w:t>
      </w:r>
    </w:p>
    <w:p w14:paraId="76FFC964" w14:textId="77777777" w:rsidR="00B47858" w:rsidRDefault="00B47858" w:rsidP="00684B3E">
      <w:pPr>
        <w:tabs>
          <w:tab w:val="left" w:pos="1168"/>
        </w:tabs>
        <w:jc w:val="both"/>
        <w:rPr>
          <w:rFonts w:ascii="Times New Roman" w:hAnsi="Times New Roman" w:cs="Times New Roman"/>
          <w:sz w:val="24"/>
          <w:szCs w:val="24"/>
        </w:rPr>
      </w:pPr>
    </w:p>
    <w:p w14:paraId="6C219BFF" w14:textId="6657B834" w:rsidR="00B47858" w:rsidRPr="00E65ABB" w:rsidRDefault="00B47858" w:rsidP="00F84132">
      <w:pPr>
        <w:pStyle w:val="ListParagraph"/>
        <w:numPr>
          <w:ilvl w:val="0"/>
          <w:numId w:val="1"/>
        </w:numPr>
        <w:autoSpaceDE w:val="0"/>
        <w:autoSpaceDN w:val="0"/>
        <w:adjustRightInd w:val="0"/>
        <w:spacing w:after="160"/>
        <w:ind w:left="0" w:firstLine="0"/>
        <w:contextualSpacing w:val="0"/>
        <w:jc w:val="both"/>
        <w:rPr>
          <w:rFonts w:ascii="Times New Roman" w:hAnsi="Times New Roman" w:cs="Times New Roman"/>
          <w:sz w:val="28"/>
          <w:szCs w:val="24"/>
          <w:lang w:val="en-US"/>
        </w:rPr>
      </w:pPr>
      <w:r>
        <w:rPr>
          <w:rFonts w:ascii="Times New Roman" w:hAnsi="Times New Roman" w:cs="Times New Roman"/>
          <w:sz w:val="24"/>
          <w:szCs w:val="24"/>
        </w:rPr>
        <w:t>Correlative</w:t>
      </w:r>
      <w:r w:rsidRPr="00B95E12">
        <w:rPr>
          <w:rFonts w:ascii="Times New Roman" w:hAnsi="Times New Roman" w:cs="Times New Roman"/>
          <w:sz w:val="24"/>
          <w:szCs w:val="24"/>
        </w:rPr>
        <w:t xml:space="preserve"> to the mounting evidence that interjurisdictional neglect and the imposition of provincial laws and standards is cau</w:t>
      </w:r>
      <w:r>
        <w:rPr>
          <w:rFonts w:ascii="Times New Roman" w:hAnsi="Times New Roman" w:cs="Times New Roman"/>
          <w:sz w:val="24"/>
          <w:szCs w:val="24"/>
        </w:rPr>
        <w:t xml:space="preserve">sing harm to Indigenous peoples, there is </w:t>
      </w:r>
      <w:r w:rsidRPr="00B95E12">
        <w:rPr>
          <w:rFonts w:ascii="Times New Roman" w:hAnsi="Times New Roman" w:cs="Times New Roman"/>
          <w:sz w:val="24"/>
          <w:szCs w:val="24"/>
        </w:rPr>
        <w:t>growing scholarship</w:t>
      </w:r>
      <w:r>
        <w:rPr>
          <w:rFonts w:ascii="Times New Roman" w:hAnsi="Times New Roman" w:cs="Times New Roman"/>
          <w:sz w:val="24"/>
          <w:szCs w:val="24"/>
        </w:rPr>
        <w:t xml:space="preserve"> and empirical data</w:t>
      </w:r>
      <w:r w:rsidRPr="00B95E12">
        <w:rPr>
          <w:rFonts w:ascii="Times New Roman" w:hAnsi="Times New Roman" w:cs="Times New Roman"/>
          <w:sz w:val="24"/>
          <w:szCs w:val="24"/>
        </w:rPr>
        <w:t xml:space="preserve"> that points to a </w:t>
      </w:r>
      <w:r w:rsidRPr="00B95E12">
        <w:rPr>
          <w:rFonts w:ascii="Times New Roman" w:hAnsi="Times New Roman" w:cs="Times New Roman"/>
          <w:noProof/>
          <w:sz w:val="24"/>
          <w:szCs w:val="24"/>
        </w:rPr>
        <w:t>clear</w:t>
      </w:r>
      <w:r w:rsidRPr="00B95E12">
        <w:rPr>
          <w:rFonts w:ascii="Times New Roman" w:hAnsi="Times New Roman" w:cs="Times New Roman"/>
          <w:sz w:val="24"/>
          <w:szCs w:val="24"/>
        </w:rPr>
        <w:t xml:space="preserve"> link between the exercise of meaningful self-government and improvement in Indigenous peoples’ well-being.</w:t>
      </w:r>
      <w:r>
        <w:rPr>
          <w:rStyle w:val="FootnoteReference"/>
          <w:rFonts w:ascii="Times New Roman" w:hAnsi="Times New Roman" w:cs="Times New Roman"/>
          <w:sz w:val="24"/>
          <w:szCs w:val="24"/>
        </w:rPr>
        <w:footnoteReference w:id="46"/>
      </w:r>
      <w:r w:rsidRPr="00B373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This is highlighted in the work of John H. </w:t>
      </w:r>
      <w:proofErr w:type="spellStart"/>
      <w:r>
        <w:rPr>
          <w:rFonts w:ascii="Times New Roman" w:hAnsi="Times New Roman" w:cs="Times New Roman"/>
          <w:sz w:val="24"/>
          <w:szCs w:val="24"/>
          <w:lang w:val="en-US"/>
        </w:rPr>
        <w:t>Hylton</w:t>
      </w:r>
      <w:proofErr w:type="spellEnd"/>
      <w:r>
        <w:rPr>
          <w:rFonts w:ascii="Times New Roman" w:hAnsi="Times New Roman" w:cs="Times New Roman"/>
          <w:sz w:val="24"/>
          <w:szCs w:val="24"/>
          <w:lang w:val="en-US"/>
        </w:rPr>
        <w:t>,</w:t>
      </w:r>
      <w:r>
        <w:rPr>
          <w:rFonts w:ascii="Times New Roman" w:hAnsi="Times New Roman" w:cs="Times New Roman"/>
          <w:sz w:val="24"/>
          <w:lang w:val="en-US"/>
        </w:rPr>
        <w:t xml:space="preserve"> who states</w:t>
      </w:r>
      <w:r w:rsidRPr="00A827A7">
        <w:rPr>
          <w:rFonts w:ascii="Times New Roman" w:hAnsi="Times New Roman" w:cs="Times New Roman"/>
          <w:sz w:val="24"/>
          <w:lang w:val="en-US"/>
        </w:rPr>
        <w:t>:</w:t>
      </w:r>
    </w:p>
    <w:p w14:paraId="6C598DCE" w14:textId="24841984" w:rsidR="00B47858" w:rsidRPr="00A64F38" w:rsidRDefault="00B47858" w:rsidP="00684B3E">
      <w:pPr>
        <w:pStyle w:val="ListParagraph"/>
        <w:autoSpaceDE w:val="0"/>
        <w:autoSpaceDN w:val="0"/>
        <w:adjustRightInd w:val="0"/>
        <w:jc w:val="both"/>
        <w:rPr>
          <w:rFonts w:ascii="Times New Roman" w:hAnsi="Times New Roman" w:cs="Times New Roman"/>
          <w:sz w:val="20"/>
          <w:szCs w:val="20"/>
          <w:lang w:val="en-US"/>
        </w:rPr>
      </w:pPr>
      <w:r w:rsidRPr="00A64F38">
        <w:rPr>
          <w:rFonts w:ascii="Times New Roman" w:hAnsi="Times New Roman" w:cs="Times New Roman"/>
          <w:sz w:val="20"/>
          <w:szCs w:val="20"/>
          <w:lang w:val="en-US"/>
        </w:rPr>
        <w:t>The conclusion of the analysis is inescapable—existing social programs that have been imposed on Aboriginal people by the governments of the dominant society have failed Aboriginal people and the Canadians who have supported them.  Programs designed and run by Aboriginal people for Aboriginal people, on the other hand, have generally proved to be more effective and no more costly.</w:t>
      </w:r>
      <w:r w:rsidRPr="00A64F38">
        <w:rPr>
          <w:rStyle w:val="FootnoteReference"/>
          <w:rFonts w:ascii="Times New Roman" w:hAnsi="Times New Roman" w:cs="Times New Roman"/>
          <w:sz w:val="20"/>
          <w:szCs w:val="20"/>
          <w:lang w:val="en-US"/>
        </w:rPr>
        <w:footnoteReference w:id="47"/>
      </w:r>
      <w:r w:rsidRPr="00A64F38">
        <w:rPr>
          <w:rFonts w:ascii="Times New Roman" w:hAnsi="Times New Roman" w:cs="Times New Roman"/>
          <w:sz w:val="20"/>
          <w:szCs w:val="20"/>
          <w:lang w:val="en-US"/>
        </w:rPr>
        <w:t xml:space="preserve">  </w:t>
      </w:r>
    </w:p>
    <w:p w14:paraId="0B4FBE35" w14:textId="47CCFB10" w:rsidR="00B47858" w:rsidRDefault="00B47858" w:rsidP="00684B3E">
      <w:pPr>
        <w:tabs>
          <w:tab w:val="left" w:pos="1168"/>
        </w:tabs>
        <w:jc w:val="both"/>
        <w:rPr>
          <w:rFonts w:ascii="Times New Roman" w:hAnsi="Times New Roman" w:cs="Times New Roman"/>
          <w:sz w:val="24"/>
          <w:szCs w:val="24"/>
        </w:rPr>
      </w:pPr>
    </w:p>
    <w:p w14:paraId="7B97F80C" w14:textId="60E7C6FE" w:rsidR="00B47858" w:rsidRPr="00F84132" w:rsidRDefault="00B47858" w:rsidP="00F84132">
      <w:pPr>
        <w:pStyle w:val="Heading3"/>
        <w:numPr>
          <w:ilvl w:val="0"/>
          <w:numId w:val="14"/>
        </w:numPr>
        <w:spacing w:after="200"/>
        <w:ind w:left="1134" w:hanging="425"/>
        <w:contextualSpacing w:val="0"/>
        <w:rPr>
          <w:b w:val="0"/>
          <w:bCs/>
          <w:i w:val="0"/>
          <w:iCs/>
        </w:rPr>
      </w:pPr>
      <w:r w:rsidRPr="00F84132">
        <w:rPr>
          <w:b w:val="0"/>
          <w:bCs/>
          <w:i w:val="0"/>
          <w:iCs/>
        </w:rPr>
        <w:t xml:space="preserve">Specific </w:t>
      </w:r>
      <w:r w:rsidR="005C6452">
        <w:rPr>
          <w:b w:val="0"/>
          <w:bCs/>
          <w:i w:val="0"/>
          <w:iCs/>
        </w:rPr>
        <w:t>H</w:t>
      </w:r>
      <w:r w:rsidR="005C6452" w:rsidRPr="00F84132">
        <w:rPr>
          <w:b w:val="0"/>
          <w:bCs/>
          <w:i w:val="0"/>
          <w:iCs/>
        </w:rPr>
        <w:t xml:space="preserve">arms </w:t>
      </w:r>
      <w:r w:rsidRPr="00F84132">
        <w:rPr>
          <w:b w:val="0"/>
          <w:bCs/>
          <w:i w:val="0"/>
          <w:iCs/>
        </w:rPr>
        <w:t xml:space="preserve">in </w:t>
      </w:r>
      <w:r w:rsidR="005C6452">
        <w:rPr>
          <w:b w:val="0"/>
          <w:bCs/>
          <w:i w:val="0"/>
          <w:iCs/>
        </w:rPr>
        <w:t>R</w:t>
      </w:r>
      <w:r w:rsidR="005C6452" w:rsidRPr="00F84132">
        <w:rPr>
          <w:b w:val="0"/>
          <w:bCs/>
          <w:i w:val="0"/>
          <w:iCs/>
        </w:rPr>
        <w:t xml:space="preserve">elation </w:t>
      </w:r>
      <w:r w:rsidRPr="00F84132">
        <w:rPr>
          <w:b w:val="0"/>
          <w:bCs/>
          <w:i w:val="0"/>
          <w:iCs/>
        </w:rPr>
        <w:t xml:space="preserve">to </w:t>
      </w:r>
      <w:r w:rsidR="005C6452">
        <w:rPr>
          <w:b w:val="0"/>
          <w:bCs/>
          <w:i w:val="0"/>
          <w:iCs/>
        </w:rPr>
        <w:t>C</w:t>
      </w:r>
      <w:r w:rsidR="005C6452" w:rsidRPr="00F84132">
        <w:rPr>
          <w:b w:val="0"/>
          <w:bCs/>
          <w:i w:val="0"/>
          <w:iCs/>
        </w:rPr>
        <w:t xml:space="preserve">hild </w:t>
      </w:r>
      <w:r w:rsidR="005C6452">
        <w:rPr>
          <w:b w:val="0"/>
          <w:bCs/>
          <w:i w:val="0"/>
          <w:iCs/>
        </w:rPr>
        <w:t>W</w:t>
      </w:r>
      <w:r w:rsidR="005C6452" w:rsidRPr="00F84132">
        <w:rPr>
          <w:b w:val="0"/>
          <w:bCs/>
          <w:i w:val="0"/>
          <w:iCs/>
        </w:rPr>
        <w:t>elfare</w:t>
      </w:r>
    </w:p>
    <w:p w14:paraId="72D9E3EA" w14:textId="76B95D44" w:rsidR="00B47858" w:rsidRPr="0006396C" w:rsidRDefault="00B47858" w:rsidP="00684B3E">
      <w:pPr>
        <w:pStyle w:val="ListParagraph"/>
        <w:numPr>
          <w:ilvl w:val="0"/>
          <w:numId w:val="1"/>
        </w:numPr>
        <w:ind w:left="0" w:firstLine="0"/>
        <w:jc w:val="both"/>
        <w:rPr>
          <w:rFonts w:ascii="Times New Roman" w:hAnsi="Times New Roman" w:cs="Times New Roman"/>
          <w:sz w:val="24"/>
          <w:szCs w:val="24"/>
        </w:rPr>
      </w:pPr>
      <w:r w:rsidRPr="00E414FE">
        <w:rPr>
          <w:rFonts w:ascii="Times New Roman" w:hAnsi="Times New Roman" w:cs="Times New Roman"/>
          <w:sz w:val="24"/>
          <w:szCs w:val="24"/>
        </w:rPr>
        <w:lastRenderedPageBreak/>
        <w:t xml:space="preserve">Although some authors have been raising alarm bells over the impact of the child welfare system on Indigenous children and </w:t>
      </w:r>
      <w:r>
        <w:rPr>
          <w:rFonts w:ascii="Times New Roman" w:hAnsi="Times New Roman" w:cs="Times New Roman"/>
          <w:sz w:val="24"/>
          <w:szCs w:val="24"/>
        </w:rPr>
        <w:t>families</w:t>
      </w:r>
      <w:r w:rsidRPr="00E414FE">
        <w:rPr>
          <w:rFonts w:ascii="Times New Roman" w:hAnsi="Times New Roman" w:cs="Times New Roman"/>
          <w:sz w:val="24"/>
          <w:szCs w:val="24"/>
        </w:rPr>
        <w:t xml:space="preserve"> for decade</w:t>
      </w:r>
      <w:r>
        <w:rPr>
          <w:rFonts w:ascii="Times New Roman" w:hAnsi="Times New Roman" w:cs="Times New Roman"/>
          <w:sz w:val="24"/>
          <w:szCs w:val="24"/>
        </w:rPr>
        <w:t>s</w:t>
      </w:r>
      <w:r w:rsidRPr="00E414FE">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sidRPr="00E414FE">
        <w:rPr>
          <w:rFonts w:ascii="Times New Roman" w:hAnsi="Times New Roman" w:cs="Times New Roman"/>
          <w:sz w:val="24"/>
          <w:szCs w:val="24"/>
        </w:rPr>
        <w:t xml:space="preserve"> developments in the last five years have finally made this a topic of national attention.  Recent statistics reveal that Aboriginal people account for almost half of all children in foster care and that they </w:t>
      </w:r>
      <w:r>
        <w:rPr>
          <w:rFonts w:ascii="Times New Roman" w:hAnsi="Times New Roman" w:cs="Times New Roman"/>
          <w:sz w:val="24"/>
          <w:szCs w:val="24"/>
        </w:rPr>
        <w:t xml:space="preserve">are </w:t>
      </w:r>
      <w:r w:rsidRPr="00E414FE">
        <w:rPr>
          <w:rFonts w:ascii="Times New Roman" w:hAnsi="Times New Roman" w:cs="Times New Roman"/>
          <w:sz w:val="24"/>
          <w:szCs w:val="24"/>
        </w:rPr>
        <w:t xml:space="preserve">overrepresented in the child welfare system in </w:t>
      </w:r>
      <w:r w:rsidRPr="00E414FE">
        <w:rPr>
          <w:rFonts w:ascii="Times New Roman" w:hAnsi="Times New Roman" w:cs="Times New Roman"/>
          <w:i/>
          <w:sz w:val="24"/>
          <w:szCs w:val="24"/>
        </w:rPr>
        <w:t>every</w:t>
      </w:r>
      <w:r w:rsidRPr="00E414FE">
        <w:rPr>
          <w:rFonts w:ascii="Times New Roman" w:hAnsi="Times New Roman" w:cs="Times New Roman"/>
          <w:sz w:val="24"/>
          <w:szCs w:val="24"/>
        </w:rPr>
        <w:t xml:space="preserve"> province and territory.</w:t>
      </w:r>
      <w:r>
        <w:rPr>
          <w:rStyle w:val="FootnoteReference"/>
          <w:rFonts w:ascii="Times New Roman" w:hAnsi="Times New Roman" w:cs="Times New Roman"/>
          <w:sz w:val="24"/>
          <w:szCs w:val="24"/>
        </w:rPr>
        <w:footnoteReference w:id="49"/>
      </w:r>
      <w:r w:rsidRPr="00E414FE">
        <w:rPr>
          <w:rFonts w:ascii="Times New Roman" w:hAnsi="Times New Roman" w:cs="Times New Roman"/>
          <w:sz w:val="24"/>
          <w:szCs w:val="24"/>
        </w:rPr>
        <w:t xml:space="preserve">  </w:t>
      </w:r>
      <w:r w:rsidRPr="0006396C">
        <w:rPr>
          <w:rFonts w:ascii="Times New Roman" w:hAnsi="Times New Roman" w:cs="Times New Roman"/>
          <w:sz w:val="24"/>
          <w:szCs w:val="24"/>
        </w:rPr>
        <w:t>One recent study also noted the link between Indigenous children in the child welfare system and overrepresentation of Indigenous peoples within the criminal justice system, dubbing this connection the “child-welfare-to-prison-pipeline.”</w:t>
      </w:r>
      <w:r>
        <w:rPr>
          <w:rStyle w:val="FootnoteReference"/>
          <w:rFonts w:ascii="Times New Roman" w:hAnsi="Times New Roman" w:cs="Times New Roman"/>
          <w:sz w:val="24"/>
          <w:szCs w:val="24"/>
        </w:rPr>
        <w:footnoteReference w:id="50"/>
      </w:r>
      <w:r w:rsidRPr="0006396C">
        <w:rPr>
          <w:rFonts w:ascii="Times New Roman" w:hAnsi="Times New Roman" w:cs="Times New Roman"/>
          <w:sz w:val="24"/>
          <w:szCs w:val="24"/>
        </w:rPr>
        <w:t xml:space="preserve">  </w:t>
      </w:r>
    </w:p>
    <w:p w14:paraId="46FD96B5" w14:textId="77777777" w:rsidR="00B47858" w:rsidRDefault="00B47858" w:rsidP="00684B3E">
      <w:pPr>
        <w:pStyle w:val="ListParagraph"/>
        <w:tabs>
          <w:tab w:val="left" w:pos="1168"/>
        </w:tabs>
        <w:ind w:left="0"/>
        <w:jc w:val="both"/>
        <w:rPr>
          <w:rFonts w:ascii="Times New Roman" w:hAnsi="Times New Roman" w:cs="Times New Roman"/>
          <w:sz w:val="24"/>
          <w:szCs w:val="24"/>
        </w:rPr>
      </w:pPr>
    </w:p>
    <w:p w14:paraId="5B9D453C" w14:textId="403C037F"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1B1AD9">
        <w:rPr>
          <w:rFonts w:ascii="Times New Roman" w:hAnsi="Times New Roman" w:cs="Times New Roman"/>
          <w:sz w:val="24"/>
          <w:szCs w:val="24"/>
        </w:rPr>
        <w:t xml:space="preserve">In </w:t>
      </w:r>
      <w:r>
        <w:rPr>
          <w:rFonts w:ascii="Times New Roman" w:hAnsi="Times New Roman" w:cs="Times New Roman"/>
          <w:sz w:val="24"/>
          <w:szCs w:val="24"/>
        </w:rPr>
        <w:t xml:space="preserve">a </w:t>
      </w:r>
      <w:r w:rsidRPr="001B1AD9">
        <w:rPr>
          <w:rFonts w:ascii="Times New Roman" w:hAnsi="Times New Roman" w:cs="Times New Roman"/>
          <w:sz w:val="24"/>
          <w:szCs w:val="24"/>
        </w:rPr>
        <w:t>2017</w:t>
      </w:r>
      <w:r>
        <w:rPr>
          <w:rFonts w:ascii="Times New Roman" w:hAnsi="Times New Roman" w:cs="Times New Roman"/>
          <w:sz w:val="24"/>
          <w:szCs w:val="24"/>
        </w:rPr>
        <w:t xml:space="preserve"> class action</w:t>
      </w:r>
      <w:r w:rsidRPr="001B1AD9">
        <w:rPr>
          <w:rFonts w:ascii="Times New Roman" w:hAnsi="Times New Roman" w:cs="Times New Roman"/>
          <w:sz w:val="24"/>
          <w:szCs w:val="24"/>
        </w:rPr>
        <w:t xml:space="preserve">, </w:t>
      </w:r>
      <w:r>
        <w:rPr>
          <w:rFonts w:ascii="Times New Roman" w:hAnsi="Times New Roman" w:cs="Times New Roman"/>
          <w:sz w:val="24"/>
          <w:szCs w:val="24"/>
        </w:rPr>
        <w:t xml:space="preserve">the Ontario Superior Court </w:t>
      </w:r>
      <w:r w:rsidRPr="001B1AD9">
        <w:rPr>
          <w:rFonts w:ascii="Times New Roman" w:hAnsi="Times New Roman" w:cs="Times New Roman"/>
          <w:sz w:val="24"/>
          <w:szCs w:val="24"/>
        </w:rPr>
        <w:t xml:space="preserve">confirmed </w:t>
      </w:r>
      <w:r>
        <w:rPr>
          <w:rFonts w:ascii="Times New Roman" w:hAnsi="Times New Roman" w:cs="Times New Roman"/>
          <w:sz w:val="24"/>
          <w:szCs w:val="24"/>
        </w:rPr>
        <w:t>the federal government’</w:t>
      </w:r>
      <w:r w:rsidRPr="001B1AD9">
        <w:rPr>
          <w:rFonts w:ascii="Times New Roman" w:hAnsi="Times New Roman" w:cs="Times New Roman"/>
          <w:sz w:val="24"/>
          <w:szCs w:val="24"/>
        </w:rPr>
        <w:t xml:space="preserve">s liability in negligence </w:t>
      </w:r>
      <w:r>
        <w:rPr>
          <w:rFonts w:ascii="Times New Roman" w:hAnsi="Times New Roman" w:cs="Times New Roman"/>
          <w:sz w:val="24"/>
          <w:szCs w:val="24"/>
        </w:rPr>
        <w:t>for</w:t>
      </w:r>
      <w:r w:rsidRPr="001B1AD9">
        <w:rPr>
          <w:rFonts w:ascii="Times New Roman" w:hAnsi="Times New Roman" w:cs="Times New Roman"/>
          <w:sz w:val="24"/>
          <w:szCs w:val="24"/>
        </w:rPr>
        <w:t xml:space="preserve"> loss of culture and identity caused to thousands of Indigenous children who had been </w:t>
      </w:r>
      <w:r>
        <w:rPr>
          <w:rFonts w:ascii="Times New Roman" w:hAnsi="Times New Roman" w:cs="Times New Roman"/>
          <w:sz w:val="24"/>
          <w:szCs w:val="24"/>
        </w:rPr>
        <w:t>taken</w:t>
      </w:r>
      <w:r w:rsidRPr="001B1AD9">
        <w:rPr>
          <w:rFonts w:ascii="Times New Roman" w:hAnsi="Times New Roman" w:cs="Times New Roman"/>
          <w:sz w:val="24"/>
          <w:szCs w:val="24"/>
        </w:rPr>
        <w:t xml:space="preserve"> into permanent care and placed in non-Indigenous foster</w:t>
      </w:r>
      <w:r>
        <w:rPr>
          <w:rFonts w:ascii="Times New Roman" w:hAnsi="Times New Roman" w:cs="Times New Roman"/>
          <w:sz w:val="24"/>
          <w:szCs w:val="24"/>
        </w:rPr>
        <w:t xml:space="preserve"> homes</w:t>
      </w:r>
      <w:r w:rsidRPr="001B1AD9">
        <w:rPr>
          <w:rFonts w:ascii="Times New Roman" w:hAnsi="Times New Roman" w:cs="Times New Roman"/>
          <w:sz w:val="24"/>
          <w:szCs w:val="24"/>
        </w:rPr>
        <w:t xml:space="preserve"> from the 1960s to the 1980s </w:t>
      </w:r>
      <w:r>
        <w:rPr>
          <w:rFonts w:ascii="Times New Roman" w:hAnsi="Times New Roman" w:cs="Times New Roman"/>
          <w:sz w:val="24"/>
          <w:szCs w:val="24"/>
        </w:rPr>
        <w:t>(</w:t>
      </w:r>
      <w:r w:rsidRPr="001B1AD9">
        <w:rPr>
          <w:rFonts w:ascii="Times New Roman" w:hAnsi="Times New Roman" w:cs="Times New Roman"/>
          <w:sz w:val="24"/>
          <w:szCs w:val="24"/>
        </w:rPr>
        <w:t>known as the ‘Sixties Scoop’</w:t>
      </w:r>
      <w:r>
        <w:rPr>
          <w:rFonts w:ascii="Times New Roman" w:hAnsi="Times New Roman" w:cs="Times New Roman"/>
          <w:sz w:val="24"/>
          <w:szCs w:val="24"/>
        </w:rPr>
        <w:t>)</w:t>
      </w:r>
      <w:r w:rsidRPr="001B1AD9">
        <w:rPr>
          <w:rFonts w:ascii="Times New Roman" w:hAnsi="Times New Roman" w:cs="Times New Roman"/>
          <w:sz w:val="24"/>
          <w:szCs w:val="24"/>
        </w:rPr>
        <w:t>.</w:t>
      </w:r>
      <w:r>
        <w:rPr>
          <w:rStyle w:val="FootnoteReference"/>
          <w:rFonts w:ascii="Times New Roman" w:hAnsi="Times New Roman" w:cs="Times New Roman"/>
          <w:sz w:val="24"/>
          <w:szCs w:val="24"/>
        </w:rPr>
        <w:footnoteReference w:id="51"/>
      </w:r>
      <w:r w:rsidRPr="001B1AD9">
        <w:rPr>
          <w:rFonts w:ascii="Times New Roman" w:hAnsi="Times New Roman" w:cs="Times New Roman"/>
          <w:sz w:val="24"/>
          <w:szCs w:val="24"/>
        </w:rPr>
        <w:t xml:space="preserve">  A similar class action on behalf of Indigenous children tak</w:t>
      </w:r>
      <w:r>
        <w:rPr>
          <w:rFonts w:ascii="Times New Roman" w:hAnsi="Times New Roman" w:cs="Times New Roman"/>
          <w:sz w:val="24"/>
          <w:szCs w:val="24"/>
        </w:rPr>
        <w:t>en</w:t>
      </w:r>
      <w:r w:rsidRPr="001B1AD9">
        <w:rPr>
          <w:rFonts w:ascii="Times New Roman" w:hAnsi="Times New Roman" w:cs="Times New Roman"/>
          <w:sz w:val="24"/>
          <w:szCs w:val="24"/>
        </w:rPr>
        <w:t xml:space="preserve"> into permanent care from the 1980s forward was initiated in March 2019.</w:t>
      </w:r>
    </w:p>
    <w:p w14:paraId="452EEEB9" w14:textId="77777777" w:rsidR="00B47858" w:rsidRPr="001B1AD9" w:rsidRDefault="00B47858" w:rsidP="00684B3E">
      <w:pPr>
        <w:pStyle w:val="ListParagraph"/>
        <w:rPr>
          <w:rFonts w:ascii="Times New Roman" w:hAnsi="Times New Roman" w:cs="Times New Roman"/>
          <w:sz w:val="24"/>
          <w:szCs w:val="24"/>
        </w:rPr>
      </w:pPr>
    </w:p>
    <w:p w14:paraId="69227B9B" w14:textId="120EF6AB"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1B1AD9">
        <w:rPr>
          <w:rFonts w:ascii="Times New Roman" w:hAnsi="Times New Roman" w:cs="Times New Roman"/>
          <w:sz w:val="24"/>
          <w:szCs w:val="24"/>
        </w:rPr>
        <w:t xml:space="preserve">As we discussed above, although </w:t>
      </w:r>
      <w:r w:rsidR="009A4F6F">
        <w:rPr>
          <w:rFonts w:ascii="Times New Roman" w:hAnsi="Times New Roman" w:cs="Times New Roman"/>
          <w:sz w:val="24"/>
          <w:szCs w:val="24"/>
        </w:rPr>
        <w:t>s 88</w:t>
      </w:r>
      <w:r w:rsidRPr="001B1AD9">
        <w:rPr>
          <w:rFonts w:ascii="Times New Roman" w:hAnsi="Times New Roman" w:cs="Times New Roman"/>
          <w:sz w:val="24"/>
          <w:szCs w:val="24"/>
        </w:rPr>
        <w:t xml:space="preserve"> of the </w:t>
      </w:r>
      <w:r w:rsidRPr="001B1AD9">
        <w:rPr>
          <w:rFonts w:ascii="Times New Roman" w:hAnsi="Times New Roman" w:cs="Times New Roman"/>
          <w:i/>
          <w:sz w:val="24"/>
          <w:szCs w:val="24"/>
        </w:rPr>
        <w:t>Indian Act</w:t>
      </w:r>
      <w:r w:rsidRPr="001B1AD9">
        <w:rPr>
          <w:rFonts w:ascii="Times New Roman" w:hAnsi="Times New Roman" w:cs="Times New Roman"/>
          <w:sz w:val="24"/>
          <w:szCs w:val="24"/>
        </w:rPr>
        <w:t xml:space="preserve"> did not automatically result in delegating child welfare authority to the provinces, this was the federal government’s intent and</w:t>
      </w:r>
      <w:r>
        <w:rPr>
          <w:rFonts w:ascii="Times New Roman" w:hAnsi="Times New Roman" w:cs="Times New Roman"/>
          <w:sz w:val="24"/>
          <w:szCs w:val="24"/>
        </w:rPr>
        <w:t xml:space="preserve"> it is</w:t>
      </w:r>
      <w:r w:rsidRPr="001B1AD9">
        <w:rPr>
          <w:rFonts w:ascii="Times New Roman" w:hAnsi="Times New Roman" w:cs="Times New Roman"/>
          <w:sz w:val="24"/>
          <w:szCs w:val="24"/>
        </w:rPr>
        <w:t xml:space="preserve"> what eventually transpired (through intergovernmental agreements).  Accordingly, many </w:t>
      </w:r>
      <w:r>
        <w:rPr>
          <w:rFonts w:ascii="Times New Roman" w:hAnsi="Times New Roman" w:cs="Times New Roman"/>
          <w:sz w:val="24"/>
          <w:szCs w:val="24"/>
        </w:rPr>
        <w:t>credit</w:t>
      </w:r>
      <w:r w:rsidRPr="001B1AD9">
        <w:rPr>
          <w:rFonts w:ascii="Times New Roman" w:hAnsi="Times New Roman" w:cs="Times New Roman"/>
          <w:sz w:val="24"/>
          <w:szCs w:val="24"/>
        </w:rPr>
        <w:t xml:space="preserve"> </w:t>
      </w:r>
      <w:r w:rsidR="009A4F6F">
        <w:rPr>
          <w:rFonts w:ascii="Times New Roman" w:hAnsi="Times New Roman" w:cs="Times New Roman"/>
          <w:sz w:val="24"/>
          <w:szCs w:val="24"/>
        </w:rPr>
        <w:t>s 88</w:t>
      </w:r>
      <w:r w:rsidRPr="001B1AD9">
        <w:rPr>
          <w:rFonts w:ascii="Times New Roman" w:hAnsi="Times New Roman" w:cs="Times New Roman"/>
          <w:sz w:val="24"/>
          <w:szCs w:val="24"/>
        </w:rPr>
        <w:t xml:space="preserve"> </w:t>
      </w:r>
      <w:r>
        <w:rPr>
          <w:rFonts w:ascii="Times New Roman" w:hAnsi="Times New Roman" w:cs="Times New Roman"/>
          <w:sz w:val="24"/>
          <w:szCs w:val="24"/>
        </w:rPr>
        <w:t>for</w:t>
      </w:r>
      <w:r w:rsidRPr="001B1AD9">
        <w:rPr>
          <w:rFonts w:ascii="Times New Roman" w:hAnsi="Times New Roman" w:cs="Times New Roman"/>
          <w:sz w:val="24"/>
          <w:szCs w:val="24"/>
        </w:rPr>
        <w:t xml:space="preserve"> being the first cause of the ‘Sixties Scoop’ and today’s current o</w:t>
      </w:r>
      <w:r>
        <w:rPr>
          <w:rFonts w:ascii="Times New Roman" w:hAnsi="Times New Roman" w:cs="Times New Roman"/>
          <w:sz w:val="24"/>
          <w:szCs w:val="24"/>
        </w:rPr>
        <w:t>verrepresentation of Indigenous children in the child welfare system</w:t>
      </w:r>
      <w:r w:rsidRPr="001B1AD9">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sidRPr="001B1AD9">
        <w:rPr>
          <w:rFonts w:ascii="Times New Roman" w:hAnsi="Times New Roman" w:cs="Times New Roman"/>
          <w:sz w:val="24"/>
          <w:szCs w:val="24"/>
        </w:rPr>
        <w:t xml:space="preserve">  In our view, the </w:t>
      </w:r>
      <w:r>
        <w:rPr>
          <w:rFonts w:ascii="Times New Roman" w:hAnsi="Times New Roman" w:cs="Times New Roman"/>
          <w:sz w:val="24"/>
          <w:szCs w:val="24"/>
        </w:rPr>
        <w:t>Supreme C</w:t>
      </w:r>
      <w:r w:rsidRPr="001B1AD9">
        <w:rPr>
          <w:rFonts w:ascii="Times New Roman" w:hAnsi="Times New Roman" w:cs="Times New Roman"/>
          <w:sz w:val="24"/>
          <w:szCs w:val="24"/>
        </w:rPr>
        <w:t>ourt’</w:t>
      </w:r>
      <w:r>
        <w:rPr>
          <w:rFonts w:ascii="Times New Roman" w:hAnsi="Times New Roman" w:cs="Times New Roman"/>
          <w:sz w:val="24"/>
          <w:szCs w:val="24"/>
        </w:rPr>
        <w:t>s</w:t>
      </w:r>
      <w:r w:rsidRPr="001B1AD9">
        <w:rPr>
          <w:rFonts w:ascii="Times New Roman" w:hAnsi="Times New Roman" w:cs="Times New Roman"/>
          <w:sz w:val="24"/>
          <w:szCs w:val="24"/>
        </w:rPr>
        <w:t xml:space="preserve"> interpretation of </w:t>
      </w:r>
      <w:r w:rsidR="002B4063">
        <w:rPr>
          <w:rFonts w:ascii="Times New Roman" w:hAnsi="Times New Roman" w:cs="Times New Roman"/>
          <w:sz w:val="24"/>
          <w:szCs w:val="24"/>
        </w:rPr>
        <w:t>s 91</w:t>
      </w:r>
      <w:r w:rsidRPr="001B1AD9">
        <w:rPr>
          <w:rFonts w:ascii="Times New Roman" w:hAnsi="Times New Roman" w:cs="Times New Roman"/>
          <w:sz w:val="24"/>
          <w:szCs w:val="24"/>
        </w:rPr>
        <w:t xml:space="preserve">(24) as giving the federal government nearly unlimited power over Indigenous peoples, as well its willingness to allow extensive provincial overlap, </w:t>
      </w:r>
      <w:r>
        <w:rPr>
          <w:rFonts w:ascii="Times New Roman" w:hAnsi="Times New Roman" w:cs="Times New Roman"/>
          <w:sz w:val="24"/>
          <w:szCs w:val="24"/>
        </w:rPr>
        <w:t>became</w:t>
      </w:r>
      <w:r w:rsidR="00444F1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1B1AD9">
        <w:rPr>
          <w:rFonts w:ascii="Times New Roman" w:hAnsi="Times New Roman" w:cs="Times New Roman"/>
          <w:sz w:val="24"/>
          <w:szCs w:val="24"/>
        </w:rPr>
        <w:t xml:space="preserve">fertile ground in which </w:t>
      </w:r>
      <w:r w:rsidR="009A4F6F">
        <w:rPr>
          <w:rFonts w:ascii="Times New Roman" w:hAnsi="Times New Roman" w:cs="Times New Roman"/>
          <w:sz w:val="24"/>
          <w:szCs w:val="24"/>
        </w:rPr>
        <w:t>s 88</w:t>
      </w:r>
      <w:r w:rsidRPr="001B1AD9">
        <w:rPr>
          <w:rFonts w:ascii="Times New Roman" w:hAnsi="Times New Roman" w:cs="Times New Roman"/>
          <w:sz w:val="24"/>
          <w:szCs w:val="24"/>
        </w:rPr>
        <w:t xml:space="preserve"> could grow.  The SCC has now gone further by constitutionalizing the effect of </w:t>
      </w:r>
      <w:r w:rsidR="009A4F6F">
        <w:rPr>
          <w:rFonts w:ascii="Times New Roman" w:hAnsi="Times New Roman" w:cs="Times New Roman"/>
          <w:sz w:val="24"/>
          <w:szCs w:val="24"/>
        </w:rPr>
        <w:t>s 88</w:t>
      </w:r>
      <w:r w:rsidRPr="001B1AD9">
        <w:rPr>
          <w:rFonts w:ascii="Times New Roman" w:hAnsi="Times New Roman" w:cs="Times New Roman"/>
          <w:sz w:val="24"/>
          <w:szCs w:val="24"/>
        </w:rPr>
        <w:t xml:space="preserve"> in </w:t>
      </w:r>
      <w:r w:rsidRPr="001B1AD9">
        <w:rPr>
          <w:rFonts w:ascii="Times New Roman" w:hAnsi="Times New Roman" w:cs="Times New Roman"/>
          <w:i/>
          <w:sz w:val="24"/>
          <w:szCs w:val="24"/>
        </w:rPr>
        <w:t>Dick</w:t>
      </w:r>
      <w:r w:rsidRPr="001B1AD9">
        <w:rPr>
          <w:rFonts w:ascii="Times New Roman" w:hAnsi="Times New Roman" w:cs="Times New Roman"/>
          <w:sz w:val="24"/>
          <w:szCs w:val="24"/>
        </w:rPr>
        <w:t xml:space="preserve">. </w:t>
      </w:r>
    </w:p>
    <w:p w14:paraId="1F51B4A1" w14:textId="77777777" w:rsidR="00B47858" w:rsidRPr="001B1AD9" w:rsidRDefault="00B47858" w:rsidP="00684B3E">
      <w:pPr>
        <w:pStyle w:val="ListParagraph"/>
        <w:rPr>
          <w:rFonts w:ascii="Times New Roman" w:hAnsi="Times New Roman" w:cs="Times New Roman"/>
          <w:sz w:val="24"/>
          <w:szCs w:val="24"/>
        </w:rPr>
      </w:pPr>
    </w:p>
    <w:p w14:paraId="70A6CD5F" w14:textId="5DDAFC2E"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1B1AD9">
        <w:rPr>
          <w:rFonts w:ascii="Times New Roman" w:hAnsi="Times New Roman" w:cs="Times New Roman"/>
          <w:sz w:val="24"/>
          <w:szCs w:val="24"/>
        </w:rPr>
        <w:t xml:space="preserve">It is now clear that the current approach to </w:t>
      </w:r>
      <w:r>
        <w:rPr>
          <w:rFonts w:ascii="Times New Roman" w:hAnsi="Times New Roman" w:cs="Times New Roman"/>
          <w:sz w:val="24"/>
          <w:szCs w:val="24"/>
        </w:rPr>
        <w:t xml:space="preserve">Indigenous </w:t>
      </w:r>
      <w:r w:rsidRPr="001B1AD9">
        <w:rPr>
          <w:rFonts w:ascii="Times New Roman" w:hAnsi="Times New Roman" w:cs="Times New Roman"/>
          <w:sz w:val="24"/>
          <w:szCs w:val="24"/>
        </w:rPr>
        <w:t xml:space="preserve">child welfare, endorsed by the majority judges in </w:t>
      </w:r>
      <w:r w:rsidRPr="001B1AD9">
        <w:rPr>
          <w:rFonts w:ascii="Times New Roman" w:hAnsi="Times New Roman" w:cs="Times New Roman"/>
          <w:i/>
          <w:sz w:val="24"/>
          <w:szCs w:val="24"/>
        </w:rPr>
        <w:t>NIL/TU,O</w:t>
      </w:r>
      <w:r w:rsidRPr="001B1AD9">
        <w:rPr>
          <w:rFonts w:ascii="Times New Roman" w:hAnsi="Times New Roman" w:cs="Times New Roman"/>
          <w:sz w:val="24"/>
          <w:szCs w:val="24"/>
        </w:rPr>
        <w:t xml:space="preserve"> as “an example of flexible and co-operative federalism at wo</w:t>
      </w:r>
      <w:r>
        <w:rPr>
          <w:rFonts w:ascii="Times New Roman" w:hAnsi="Times New Roman" w:cs="Times New Roman"/>
          <w:sz w:val="24"/>
          <w:szCs w:val="24"/>
        </w:rPr>
        <w:t>rk and at its best,”</w:t>
      </w:r>
      <w:r>
        <w:rPr>
          <w:rStyle w:val="FootnoteReference"/>
          <w:rFonts w:ascii="Times New Roman" w:hAnsi="Times New Roman" w:cs="Times New Roman"/>
          <w:sz w:val="24"/>
          <w:szCs w:val="24"/>
        </w:rPr>
        <w:footnoteReference w:id="53"/>
      </w:r>
      <w:r w:rsidRPr="001B1AD9">
        <w:rPr>
          <w:rFonts w:ascii="Times New Roman" w:hAnsi="Times New Roman" w:cs="Times New Roman"/>
          <w:sz w:val="24"/>
          <w:szCs w:val="24"/>
        </w:rPr>
        <w:t xml:space="preserve"> is having disastrous impacts on Indigenous children and families. </w:t>
      </w:r>
      <w:r w:rsidRPr="001B1AD9">
        <w:rPr>
          <w:rFonts w:ascii="Times New Roman" w:hAnsi="Times New Roman" w:cs="Times New Roman"/>
          <w:i/>
          <w:sz w:val="24"/>
          <w:szCs w:val="24"/>
        </w:rPr>
        <w:t xml:space="preserve"> </w:t>
      </w:r>
      <w:r w:rsidRPr="001B1AD9">
        <w:rPr>
          <w:rFonts w:ascii="Times New Roman" w:hAnsi="Times New Roman" w:cs="Times New Roman"/>
          <w:sz w:val="24"/>
          <w:szCs w:val="24"/>
        </w:rPr>
        <w:t>Recent developments</w:t>
      </w:r>
      <w:r>
        <w:rPr>
          <w:rFonts w:ascii="Times New Roman" w:hAnsi="Times New Roman" w:cs="Times New Roman"/>
          <w:sz w:val="24"/>
          <w:szCs w:val="24"/>
        </w:rPr>
        <w:t>, discussed below,</w:t>
      </w:r>
      <w:r w:rsidRPr="001B1AD9">
        <w:rPr>
          <w:rFonts w:ascii="Times New Roman" w:hAnsi="Times New Roman" w:cs="Times New Roman"/>
          <w:sz w:val="24"/>
          <w:szCs w:val="24"/>
        </w:rPr>
        <w:t xml:space="preserve"> have highlighted the highly assimilative nature of the child welfare system in Canada as it relates to Indigenous peoples.  They have also revealed far less ‘cooperation’ between federal and provincial governments than the SCC judges supposed.</w:t>
      </w:r>
    </w:p>
    <w:p w14:paraId="29A529B2" w14:textId="77777777" w:rsidR="00B47858" w:rsidRPr="001B1AD9" w:rsidRDefault="00B47858" w:rsidP="00684B3E">
      <w:pPr>
        <w:pStyle w:val="ListParagraph"/>
        <w:rPr>
          <w:rFonts w:ascii="Times New Roman" w:hAnsi="Times New Roman" w:cs="Times New Roman"/>
          <w:sz w:val="24"/>
          <w:szCs w:val="24"/>
        </w:rPr>
      </w:pPr>
    </w:p>
    <w:p w14:paraId="748F026A" w14:textId="4280B90F" w:rsidR="00B47858" w:rsidRPr="005740FC" w:rsidRDefault="00B47858" w:rsidP="00F84132">
      <w:pPr>
        <w:pStyle w:val="ListParagraph"/>
        <w:numPr>
          <w:ilvl w:val="0"/>
          <w:numId w:val="1"/>
        </w:numPr>
        <w:spacing w:after="160"/>
        <w:ind w:left="0" w:firstLine="0"/>
        <w:contextualSpacing w:val="0"/>
        <w:jc w:val="both"/>
        <w:rPr>
          <w:rFonts w:ascii="Times New Roman" w:hAnsi="Times New Roman" w:cs="Times New Roman"/>
          <w:sz w:val="24"/>
          <w:szCs w:val="24"/>
        </w:rPr>
      </w:pPr>
      <w:r w:rsidRPr="001B1AD9">
        <w:rPr>
          <w:rFonts w:ascii="Times New Roman" w:hAnsi="Times New Roman" w:cs="Times New Roman"/>
          <w:sz w:val="24"/>
          <w:szCs w:val="24"/>
        </w:rPr>
        <w:t xml:space="preserve">The </w:t>
      </w:r>
      <w:r>
        <w:rPr>
          <w:rFonts w:ascii="Times New Roman" w:hAnsi="Times New Roman" w:cs="Times New Roman"/>
          <w:sz w:val="24"/>
          <w:szCs w:val="24"/>
        </w:rPr>
        <w:t>TRC has</w:t>
      </w:r>
      <w:r w:rsidRPr="001B1AD9">
        <w:rPr>
          <w:rFonts w:ascii="Times New Roman" w:hAnsi="Times New Roman" w:cs="Times New Roman"/>
          <w:sz w:val="24"/>
          <w:szCs w:val="24"/>
        </w:rPr>
        <w:t xml:space="preserve"> stated that “Canada’s child-welfare system has simply continued the assimilation that the residential school system started</w:t>
      </w:r>
      <w:r>
        <w:rPr>
          <w:rFonts w:ascii="Times New Roman" w:hAnsi="Times New Roman" w:cs="Times New Roman"/>
          <w:sz w:val="24"/>
          <w:szCs w:val="24"/>
        </w:rPr>
        <w:t>,</w:t>
      </w:r>
      <w:r w:rsidRPr="001B1AD9">
        <w:rPr>
          <w:rFonts w:ascii="Times New Roman" w:hAnsi="Times New Roman" w:cs="Times New Roman"/>
          <w:sz w:val="24"/>
          <w:szCs w:val="24"/>
        </w:rPr>
        <w:t xml:space="preserve">” and its first five Calls to Action were </w:t>
      </w:r>
      <w:r w:rsidRPr="001B1AD9">
        <w:rPr>
          <w:rFonts w:ascii="Times New Roman" w:hAnsi="Times New Roman" w:cs="Times New Roman"/>
          <w:sz w:val="24"/>
          <w:szCs w:val="24"/>
        </w:rPr>
        <w:lastRenderedPageBreak/>
        <w:t xml:space="preserve">directed </w:t>
      </w:r>
      <w:r>
        <w:rPr>
          <w:rFonts w:ascii="Times New Roman" w:hAnsi="Times New Roman" w:cs="Times New Roman"/>
          <w:sz w:val="24"/>
          <w:szCs w:val="24"/>
        </w:rPr>
        <w:t xml:space="preserve">at </w:t>
      </w:r>
      <w:r w:rsidRPr="001B1AD9">
        <w:rPr>
          <w:rFonts w:ascii="Times New Roman" w:hAnsi="Times New Roman" w:cs="Times New Roman"/>
          <w:sz w:val="24"/>
          <w:szCs w:val="24"/>
        </w:rPr>
        <w:t>address</w:t>
      </w:r>
      <w:r>
        <w:rPr>
          <w:rFonts w:ascii="Times New Roman" w:hAnsi="Times New Roman" w:cs="Times New Roman"/>
          <w:sz w:val="24"/>
          <w:szCs w:val="24"/>
        </w:rPr>
        <w:t>ing</w:t>
      </w:r>
      <w:r w:rsidRPr="001B1AD9">
        <w:rPr>
          <w:rFonts w:ascii="Times New Roman" w:hAnsi="Times New Roman" w:cs="Times New Roman"/>
          <w:sz w:val="24"/>
          <w:szCs w:val="24"/>
        </w:rPr>
        <w:t xml:space="preserve"> significant problems identified with </w:t>
      </w:r>
      <w:r>
        <w:rPr>
          <w:rFonts w:ascii="Times New Roman" w:hAnsi="Times New Roman" w:cs="Times New Roman"/>
          <w:sz w:val="24"/>
          <w:szCs w:val="24"/>
        </w:rPr>
        <w:t xml:space="preserve">Indigenous </w:t>
      </w:r>
      <w:r w:rsidRPr="001B1AD9">
        <w:rPr>
          <w:rFonts w:ascii="Times New Roman" w:hAnsi="Times New Roman" w:cs="Times New Roman"/>
          <w:sz w:val="24"/>
          <w:szCs w:val="24"/>
        </w:rPr>
        <w:t>child welfare in Canada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r w:rsidRPr="001B1AD9">
        <w:rPr>
          <w:rFonts w:ascii="Times New Roman" w:hAnsi="Times New Roman" w:cs="Times New Roman"/>
          <w:sz w:val="24"/>
          <w:szCs w:val="24"/>
        </w:rPr>
        <w:t xml:space="preserve">  The TRC highlighted jurisdictional disputes and neglect </w:t>
      </w:r>
      <w:r>
        <w:rPr>
          <w:rFonts w:ascii="Times New Roman" w:hAnsi="Times New Roman" w:cs="Times New Roman"/>
          <w:sz w:val="24"/>
          <w:szCs w:val="24"/>
        </w:rPr>
        <w:t>in relation to Indigenous</w:t>
      </w:r>
      <w:r w:rsidRPr="001B1AD9">
        <w:rPr>
          <w:rFonts w:ascii="Times New Roman" w:hAnsi="Times New Roman" w:cs="Times New Roman"/>
          <w:sz w:val="24"/>
          <w:szCs w:val="24"/>
        </w:rPr>
        <w:t xml:space="preserve"> child welfare as a key problem:</w:t>
      </w:r>
    </w:p>
    <w:p w14:paraId="2BD5E76B" w14:textId="23A12F0C" w:rsidR="00B47858" w:rsidRPr="00F84132" w:rsidRDefault="00B47858" w:rsidP="00684B3E">
      <w:pPr>
        <w:tabs>
          <w:tab w:val="left" w:pos="1168"/>
        </w:tabs>
        <w:ind w:left="720"/>
        <w:jc w:val="both"/>
        <w:rPr>
          <w:rFonts w:ascii="Times New Roman" w:hAnsi="Times New Roman" w:cs="Times New Roman"/>
          <w:sz w:val="20"/>
          <w:szCs w:val="20"/>
        </w:rPr>
      </w:pPr>
      <w:r w:rsidRPr="00F84132">
        <w:rPr>
          <w:rFonts w:ascii="Times New Roman" w:hAnsi="Times New Roman" w:cs="Times New Roman"/>
          <w:sz w:val="20"/>
          <w:szCs w:val="20"/>
        </w:rPr>
        <w:t>Jurisdictional responsibility for child welfare is intensely contested. Historically, the federal government and provincial and territorial governments have tried to shift responsibility for Aboriginal child services from one level of government to another. The federal position is that responsibility for child and family services lies solely within the jurisdiction of the provinces and territories. Canada contends that the federal government is responsible for funding only on-reserve services. In contrast, the provinces maintain that the federal government has constitutional responsibility for ‘Indians,’ and argue that Ottawa has off-loaded that responsibility to the provinces to provide services to an increasingly urban, non-reserve population.</w:t>
      </w:r>
    </w:p>
    <w:p w14:paraId="63A60619" w14:textId="77777777" w:rsidR="00B47858" w:rsidRPr="00F84132" w:rsidRDefault="00B47858" w:rsidP="00684B3E">
      <w:pPr>
        <w:tabs>
          <w:tab w:val="left" w:pos="1168"/>
        </w:tabs>
        <w:jc w:val="both"/>
        <w:rPr>
          <w:rFonts w:ascii="Times New Roman" w:hAnsi="Times New Roman" w:cs="Times New Roman"/>
          <w:sz w:val="20"/>
          <w:szCs w:val="20"/>
        </w:rPr>
      </w:pPr>
    </w:p>
    <w:p w14:paraId="3C421499" w14:textId="0E308255" w:rsidR="00B47858" w:rsidRPr="002D5BFE" w:rsidRDefault="00B47858" w:rsidP="00684B3E">
      <w:pPr>
        <w:tabs>
          <w:tab w:val="left" w:pos="1168"/>
        </w:tabs>
        <w:ind w:left="720"/>
        <w:jc w:val="both"/>
        <w:rPr>
          <w:rFonts w:ascii="Times New Roman" w:hAnsi="Times New Roman" w:cs="Times New Roman"/>
          <w:sz w:val="24"/>
          <w:szCs w:val="24"/>
        </w:rPr>
      </w:pPr>
      <w:r w:rsidRPr="00F84132">
        <w:rPr>
          <w:rFonts w:ascii="Times New Roman" w:hAnsi="Times New Roman" w:cs="Times New Roman"/>
          <w:sz w:val="20"/>
          <w:szCs w:val="20"/>
        </w:rPr>
        <w:t>The result is that there are often disputes over which level of government or department is responsible for paying costs. The repercussions of these disputes can be serious, with Aboriginal children paying the highest price—in particular, children with complex developmental, mental health, and physical health issues.</w:t>
      </w:r>
      <w:r>
        <w:rPr>
          <w:rStyle w:val="FootnoteReference"/>
          <w:rFonts w:ascii="Times New Roman" w:hAnsi="Times New Roman" w:cs="Times New Roman"/>
          <w:sz w:val="24"/>
          <w:szCs w:val="24"/>
        </w:rPr>
        <w:footnoteReference w:id="55"/>
      </w:r>
    </w:p>
    <w:p w14:paraId="07CE460F" w14:textId="77777777" w:rsidR="00B47858" w:rsidRDefault="00B47858" w:rsidP="00684B3E">
      <w:pPr>
        <w:tabs>
          <w:tab w:val="left" w:pos="1168"/>
        </w:tabs>
        <w:jc w:val="both"/>
        <w:rPr>
          <w:rFonts w:ascii="Times New Roman" w:hAnsi="Times New Roman" w:cs="Times New Roman"/>
          <w:sz w:val="24"/>
          <w:szCs w:val="24"/>
        </w:rPr>
      </w:pPr>
    </w:p>
    <w:p w14:paraId="3AED2157" w14:textId="3530270C" w:rsidR="00B47858" w:rsidRPr="00BD64F7" w:rsidRDefault="00B47858" w:rsidP="00F84132">
      <w:pPr>
        <w:pStyle w:val="ListParagraph"/>
        <w:numPr>
          <w:ilvl w:val="0"/>
          <w:numId w:val="1"/>
        </w:numPr>
        <w:spacing w:after="160"/>
        <w:ind w:left="0" w:firstLine="0"/>
        <w:contextualSpacing w:val="0"/>
        <w:jc w:val="both"/>
        <w:rPr>
          <w:rFonts w:ascii="Times New Roman" w:hAnsi="Times New Roman" w:cs="Times New Roman"/>
          <w:sz w:val="24"/>
          <w:szCs w:val="24"/>
        </w:rPr>
      </w:pPr>
      <w:r w:rsidRPr="001B1AD9">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1B1AD9">
        <w:rPr>
          <w:rFonts w:ascii="Times New Roman" w:hAnsi="Times New Roman" w:cs="Times New Roman"/>
          <w:sz w:val="24"/>
          <w:szCs w:val="24"/>
        </w:rPr>
        <w:t>2016</w:t>
      </w:r>
      <w:r>
        <w:rPr>
          <w:rFonts w:ascii="Times New Roman" w:hAnsi="Times New Roman" w:cs="Times New Roman"/>
          <w:sz w:val="24"/>
          <w:szCs w:val="24"/>
        </w:rPr>
        <w:t xml:space="preserve"> </w:t>
      </w:r>
      <w:r w:rsidRPr="00161011">
        <w:rPr>
          <w:rFonts w:ascii="Times New Roman" w:hAnsi="Times New Roman" w:cs="Times New Roman"/>
          <w:i/>
          <w:sz w:val="24"/>
          <w:szCs w:val="24"/>
        </w:rPr>
        <w:t>First Nations Child and Family Caring Society of Canada et al. v Attorney General of Canada (for the Minister of Indian and Northern Affairs Canada</w:t>
      </w:r>
      <w:r w:rsidRPr="00161011">
        <w:rPr>
          <w:rFonts w:ascii="Times New Roman" w:hAnsi="Times New Roman" w:cs="Times New Roman"/>
          <w:sz w:val="24"/>
          <w:szCs w:val="24"/>
        </w:rPr>
        <w:t>)</w:t>
      </w:r>
      <w:r>
        <w:rPr>
          <w:rFonts w:ascii="Times New Roman" w:hAnsi="Times New Roman" w:cs="Times New Roman"/>
          <w:sz w:val="24"/>
          <w:szCs w:val="24"/>
        </w:rPr>
        <w:t xml:space="preserve"> case</w:t>
      </w:r>
      <w:r w:rsidRPr="001B1AD9">
        <w:rPr>
          <w:rFonts w:ascii="Times New Roman" w:hAnsi="Times New Roman" w:cs="Times New Roman"/>
          <w:sz w:val="24"/>
          <w:szCs w:val="24"/>
        </w:rPr>
        <w:t>, the Canadian Human Rights Tribunal (CHRT) found that Canada had discriminated against First Nations children by knowingly underfund</w:t>
      </w:r>
      <w:r>
        <w:rPr>
          <w:rFonts w:ascii="Times New Roman" w:hAnsi="Times New Roman" w:cs="Times New Roman"/>
          <w:sz w:val="24"/>
          <w:szCs w:val="24"/>
        </w:rPr>
        <w:t>ing</w:t>
      </w:r>
      <w:r w:rsidRPr="001B1AD9">
        <w:rPr>
          <w:rFonts w:ascii="Times New Roman" w:hAnsi="Times New Roman" w:cs="Times New Roman"/>
          <w:sz w:val="24"/>
          <w:szCs w:val="24"/>
        </w:rPr>
        <w:t xml:space="preserve"> the delivery of child welfare services in First Nations communities.</w:t>
      </w:r>
      <w:r>
        <w:rPr>
          <w:rStyle w:val="FootnoteReference"/>
          <w:rFonts w:ascii="Times New Roman" w:hAnsi="Times New Roman" w:cs="Times New Roman"/>
          <w:sz w:val="24"/>
          <w:szCs w:val="24"/>
        </w:rPr>
        <w:footnoteReference w:id="56"/>
      </w:r>
      <w:r w:rsidRPr="001B1AD9">
        <w:rPr>
          <w:rFonts w:ascii="Times New Roman" w:hAnsi="Times New Roman" w:cs="Times New Roman"/>
          <w:sz w:val="24"/>
          <w:szCs w:val="24"/>
        </w:rPr>
        <w:t xml:space="preserve">  Consistent with a more nuanced understanding of </w:t>
      </w:r>
      <w:r>
        <w:rPr>
          <w:rFonts w:ascii="Times New Roman" w:hAnsi="Times New Roman" w:cs="Times New Roman"/>
          <w:sz w:val="24"/>
          <w:szCs w:val="24"/>
        </w:rPr>
        <w:t xml:space="preserve">the </w:t>
      </w:r>
      <w:r w:rsidRPr="001B1AD9">
        <w:rPr>
          <w:rFonts w:ascii="Times New Roman" w:hAnsi="Times New Roman" w:cs="Times New Roman"/>
          <w:sz w:val="24"/>
          <w:szCs w:val="24"/>
        </w:rPr>
        <w:t>complexities of child welfare delivery on reserve</w:t>
      </w:r>
      <w:r>
        <w:rPr>
          <w:rFonts w:ascii="Times New Roman" w:hAnsi="Times New Roman" w:cs="Times New Roman"/>
          <w:sz w:val="24"/>
          <w:szCs w:val="24"/>
        </w:rPr>
        <w:t xml:space="preserve"> discussed</w:t>
      </w:r>
      <w:r w:rsidRPr="001B1AD9">
        <w:rPr>
          <w:rFonts w:ascii="Times New Roman" w:hAnsi="Times New Roman" w:cs="Times New Roman"/>
          <w:sz w:val="24"/>
          <w:szCs w:val="24"/>
        </w:rPr>
        <w:t xml:space="preserve"> above, the CHRT, unlike the SCC</w:t>
      </w:r>
      <w:r>
        <w:rPr>
          <w:rFonts w:ascii="Times New Roman" w:hAnsi="Times New Roman" w:cs="Times New Roman"/>
          <w:sz w:val="24"/>
          <w:szCs w:val="24"/>
        </w:rPr>
        <w:t xml:space="preserve"> in the cases at bar</w:t>
      </w:r>
      <w:r w:rsidRPr="001B1AD9">
        <w:rPr>
          <w:rFonts w:ascii="Times New Roman" w:hAnsi="Times New Roman" w:cs="Times New Roman"/>
          <w:sz w:val="24"/>
          <w:szCs w:val="24"/>
        </w:rPr>
        <w:t xml:space="preserve">, found that primary </w:t>
      </w:r>
      <w:r>
        <w:rPr>
          <w:rFonts w:ascii="Times New Roman" w:hAnsi="Times New Roman" w:cs="Times New Roman"/>
          <w:sz w:val="24"/>
          <w:szCs w:val="24"/>
        </w:rPr>
        <w:t>jurisdiction</w:t>
      </w:r>
      <w:r w:rsidRPr="001B1AD9">
        <w:rPr>
          <w:rFonts w:ascii="Times New Roman" w:hAnsi="Times New Roman" w:cs="Times New Roman"/>
          <w:sz w:val="24"/>
          <w:szCs w:val="24"/>
        </w:rPr>
        <w:t xml:space="preserve"> (and human rights liability) over First Nations child welfare fell to the federal government under </w:t>
      </w:r>
      <w:r w:rsidR="002B4063">
        <w:rPr>
          <w:rFonts w:ascii="Times New Roman" w:hAnsi="Times New Roman" w:cs="Times New Roman"/>
          <w:sz w:val="24"/>
          <w:szCs w:val="24"/>
        </w:rPr>
        <w:t>s 91</w:t>
      </w:r>
      <w:r w:rsidRPr="001B1AD9">
        <w:rPr>
          <w:rFonts w:ascii="Times New Roman" w:hAnsi="Times New Roman" w:cs="Times New Roman"/>
          <w:sz w:val="24"/>
          <w:szCs w:val="24"/>
        </w:rPr>
        <w:t>(24).  The CHRT recognized that Canada had the power to legislate over First Nations child welfare and chose not to, instead taking “a programing and funding approach” to child welfare on reserve.</w:t>
      </w:r>
      <w:r>
        <w:rPr>
          <w:rStyle w:val="FootnoteReference"/>
          <w:rFonts w:ascii="Times New Roman" w:hAnsi="Times New Roman" w:cs="Times New Roman"/>
          <w:sz w:val="24"/>
          <w:szCs w:val="24"/>
        </w:rPr>
        <w:footnoteReference w:id="57"/>
      </w:r>
      <w:r w:rsidRPr="001B1AD9">
        <w:rPr>
          <w:rFonts w:ascii="Times New Roman" w:hAnsi="Times New Roman" w:cs="Times New Roman"/>
          <w:sz w:val="24"/>
          <w:szCs w:val="24"/>
        </w:rPr>
        <w:t xml:space="preserve"> The </w:t>
      </w:r>
      <w:r>
        <w:rPr>
          <w:rFonts w:ascii="Times New Roman" w:hAnsi="Times New Roman" w:cs="Times New Roman"/>
          <w:sz w:val="24"/>
          <w:szCs w:val="24"/>
        </w:rPr>
        <w:t>CHRT</w:t>
      </w:r>
      <w:r w:rsidRPr="001B1AD9">
        <w:rPr>
          <w:rFonts w:ascii="Times New Roman" w:hAnsi="Times New Roman" w:cs="Times New Roman"/>
          <w:sz w:val="24"/>
          <w:szCs w:val="24"/>
        </w:rPr>
        <w:t xml:space="preserve"> also recognized that the application of provincial child welfare legislation and standards </w:t>
      </w:r>
      <w:r>
        <w:rPr>
          <w:rFonts w:ascii="Times New Roman" w:hAnsi="Times New Roman" w:cs="Times New Roman"/>
          <w:sz w:val="24"/>
          <w:szCs w:val="24"/>
        </w:rPr>
        <w:t xml:space="preserve">through the enactment of </w:t>
      </w:r>
      <w:r w:rsidR="009A4F6F">
        <w:rPr>
          <w:rFonts w:ascii="Times New Roman" w:hAnsi="Times New Roman" w:cs="Times New Roman"/>
          <w:sz w:val="24"/>
          <w:szCs w:val="24"/>
        </w:rPr>
        <w:t>s 88</w:t>
      </w:r>
      <w:r w:rsidRPr="001B1AD9">
        <w:rPr>
          <w:rFonts w:ascii="Times New Roman" w:hAnsi="Times New Roman" w:cs="Times New Roman"/>
          <w:sz w:val="24"/>
          <w:szCs w:val="24"/>
        </w:rPr>
        <w:t xml:space="preserve"> of the </w:t>
      </w:r>
      <w:r w:rsidRPr="001B1AD9">
        <w:rPr>
          <w:rFonts w:ascii="Times New Roman" w:hAnsi="Times New Roman" w:cs="Times New Roman"/>
          <w:i/>
          <w:sz w:val="24"/>
          <w:szCs w:val="24"/>
        </w:rPr>
        <w:t>Indian Act</w:t>
      </w:r>
      <w:r w:rsidRPr="001B1AD9">
        <w:rPr>
          <w:rFonts w:ascii="Times New Roman" w:hAnsi="Times New Roman" w:cs="Times New Roman"/>
          <w:sz w:val="24"/>
          <w:szCs w:val="24"/>
        </w:rPr>
        <w:t xml:space="preserve"> was a deliberate choice of the federal government.  According to the </w:t>
      </w:r>
      <w:r>
        <w:rPr>
          <w:rFonts w:ascii="Times New Roman" w:hAnsi="Times New Roman" w:cs="Times New Roman"/>
          <w:sz w:val="24"/>
          <w:szCs w:val="24"/>
        </w:rPr>
        <w:t>CHRT</w:t>
      </w:r>
      <w:r w:rsidRPr="001B1AD9">
        <w:rPr>
          <w:rFonts w:ascii="Times New Roman" w:hAnsi="Times New Roman" w:cs="Times New Roman"/>
          <w:sz w:val="24"/>
          <w:szCs w:val="24"/>
        </w:rPr>
        <w:t>, the fact that Canada did not directly deliver the service on reserve could not be the end of</w:t>
      </w:r>
      <w:r>
        <w:rPr>
          <w:rFonts w:ascii="Times New Roman" w:hAnsi="Times New Roman" w:cs="Times New Roman"/>
          <w:sz w:val="24"/>
          <w:szCs w:val="24"/>
        </w:rPr>
        <w:t xml:space="preserve"> the matter and could not be used as an</w:t>
      </w:r>
      <w:r w:rsidRPr="001B1AD9">
        <w:rPr>
          <w:rFonts w:ascii="Times New Roman" w:hAnsi="Times New Roman" w:cs="Times New Roman"/>
          <w:sz w:val="24"/>
          <w:szCs w:val="24"/>
        </w:rPr>
        <w:t xml:space="preserve"> excuse to allow Canada to escape scrutiny because</w:t>
      </w:r>
      <w:r>
        <w:rPr>
          <w:rFonts w:ascii="Times New Roman" w:hAnsi="Times New Roman" w:cs="Times New Roman"/>
          <w:sz w:val="24"/>
          <w:szCs w:val="24"/>
        </w:rPr>
        <w:t>,</w:t>
      </w:r>
    </w:p>
    <w:p w14:paraId="0507198B" w14:textId="77712754" w:rsidR="00B47858" w:rsidRPr="008C429B" w:rsidRDefault="00B47858" w:rsidP="00684B3E">
      <w:pPr>
        <w:tabs>
          <w:tab w:val="left" w:pos="1168"/>
        </w:tabs>
        <w:ind w:left="720"/>
        <w:jc w:val="both"/>
        <w:rPr>
          <w:rFonts w:ascii="Times New Roman" w:hAnsi="Times New Roman" w:cs="Times New Roman"/>
          <w:sz w:val="24"/>
          <w:szCs w:val="24"/>
        </w:rPr>
      </w:pPr>
      <w:r w:rsidRPr="00F84132">
        <w:rPr>
          <w:rFonts w:ascii="Times New Roman" w:hAnsi="Times New Roman" w:cs="Times New Roman"/>
          <w:sz w:val="20"/>
          <w:szCs w:val="20"/>
        </w:rPr>
        <w:t>…</w:t>
      </w:r>
      <w:r w:rsidR="00591675">
        <w:rPr>
          <w:rFonts w:ascii="Times New Roman" w:hAnsi="Times New Roman" w:cs="Times New Roman"/>
          <w:sz w:val="20"/>
          <w:szCs w:val="20"/>
        </w:rPr>
        <w:t xml:space="preserve"> </w:t>
      </w:r>
      <w:r w:rsidRPr="00F84132">
        <w:rPr>
          <w:rFonts w:ascii="Times New Roman" w:hAnsi="Times New Roman" w:cs="Times New Roman"/>
          <w:sz w:val="20"/>
          <w:szCs w:val="20"/>
        </w:rPr>
        <w:t xml:space="preserve">despite not actually delivering the service, </w:t>
      </w:r>
      <w:r w:rsidRPr="00F84132">
        <w:rPr>
          <w:rFonts w:ascii="Times New Roman" w:hAnsi="Times New Roman" w:cs="Times New Roman"/>
          <w:color w:val="000000"/>
          <w:spacing w:val="-3"/>
          <w:sz w:val="20"/>
          <w:szCs w:val="20"/>
          <w:shd w:val="clear" w:color="auto" w:fill="FFFFFF"/>
        </w:rPr>
        <w:t>[</w:t>
      </w:r>
      <w:r w:rsidRPr="00F84132">
        <w:rPr>
          <w:rFonts w:ascii="Times New Roman" w:hAnsi="Times New Roman" w:cs="Times New Roman"/>
          <w:sz w:val="20"/>
          <w:szCs w:val="20"/>
        </w:rPr>
        <w:t>Canada</w:t>
      </w:r>
      <w:r w:rsidRPr="00F84132">
        <w:rPr>
          <w:rFonts w:ascii="Times New Roman" w:hAnsi="Times New Roman" w:cs="Times New Roman"/>
          <w:color w:val="000000"/>
          <w:spacing w:val="-3"/>
          <w:sz w:val="20"/>
          <w:szCs w:val="20"/>
          <w:shd w:val="clear" w:color="auto" w:fill="FFFFFF"/>
        </w:rPr>
        <w:t>]</w:t>
      </w:r>
      <w:r w:rsidRPr="00F84132">
        <w:rPr>
          <w:rFonts w:ascii="Times New Roman" w:hAnsi="Times New Roman" w:cs="Times New Roman"/>
          <w:sz w:val="20"/>
          <w:szCs w:val="20"/>
        </w:rPr>
        <w:t xml:space="preserve"> exerts a significant amount of influence over the provision of those services. Ultimately, it is </w:t>
      </w:r>
      <w:r w:rsidRPr="00F84132">
        <w:rPr>
          <w:rFonts w:ascii="Times New Roman" w:hAnsi="Times New Roman" w:cs="Times New Roman"/>
          <w:color w:val="000000"/>
          <w:spacing w:val="-3"/>
          <w:sz w:val="20"/>
          <w:szCs w:val="20"/>
          <w:shd w:val="clear" w:color="auto" w:fill="FFFFFF"/>
        </w:rPr>
        <w:t>[</w:t>
      </w:r>
      <w:r w:rsidRPr="00F84132">
        <w:rPr>
          <w:rFonts w:ascii="Times New Roman" w:hAnsi="Times New Roman" w:cs="Times New Roman"/>
          <w:sz w:val="20"/>
          <w:szCs w:val="20"/>
        </w:rPr>
        <w:t>Canada</w:t>
      </w:r>
      <w:r w:rsidRPr="00F84132">
        <w:rPr>
          <w:rFonts w:ascii="Times New Roman" w:hAnsi="Times New Roman" w:cs="Times New Roman"/>
          <w:color w:val="000000"/>
          <w:spacing w:val="-3"/>
          <w:sz w:val="20"/>
          <w:szCs w:val="20"/>
          <w:shd w:val="clear" w:color="auto" w:fill="FFFFFF"/>
        </w:rPr>
        <w:t>]</w:t>
      </w:r>
      <w:r w:rsidRPr="00F84132">
        <w:rPr>
          <w:rFonts w:ascii="Times New Roman" w:hAnsi="Times New Roman" w:cs="Times New Roman"/>
          <w:sz w:val="20"/>
          <w:szCs w:val="20"/>
        </w:rPr>
        <w:t xml:space="preserve"> that has the power to remedy inadequacies of child and family services and improve outcomes for children and families residing on First Nations reserves and in the Yukon….</w:t>
      </w:r>
      <w:r w:rsidRPr="00A64F38">
        <w:rPr>
          <w:rStyle w:val="FootnoteReference"/>
          <w:rFonts w:ascii="Times New Roman" w:hAnsi="Times New Roman" w:cs="Times New Roman"/>
          <w:sz w:val="20"/>
          <w:szCs w:val="20"/>
        </w:rPr>
        <w:footnoteReference w:id="58"/>
      </w:r>
    </w:p>
    <w:p w14:paraId="3E2EA64C" w14:textId="77777777" w:rsidR="00B47858" w:rsidRPr="008C429B" w:rsidRDefault="00B47858" w:rsidP="00684B3E">
      <w:pPr>
        <w:tabs>
          <w:tab w:val="left" w:pos="1168"/>
        </w:tabs>
        <w:jc w:val="both"/>
        <w:rPr>
          <w:rFonts w:ascii="Times New Roman" w:hAnsi="Times New Roman" w:cs="Times New Roman"/>
          <w:sz w:val="24"/>
          <w:szCs w:val="24"/>
        </w:rPr>
      </w:pPr>
    </w:p>
    <w:p w14:paraId="13C4484C" w14:textId="1D6E11B5" w:rsidR="00B47858" w:rsidRPr="00BD64F7" w:rsidRDefault="00B47858" w:rsidP="00F84132">
      <w:pPr>
        <w:pStyle w:val="ListParagraph"/>
        <w:numPr>
          <w:ilvl w:val="0"/>
          <w:numId w:val="1"/>
        </w:numPr>
        <w:spacing w:after="160"/>
        <w:ind w:left="0" w:firstLine="0"/>
        <w:contextualSpacing w:val="0"/>
        <w:jc w:val="both"/>
        <w:rPr>
          <w:rFonts w:ascii="Times New Roman" w:hAnsi="Times New Roman" w:cs="Times New Roman"/>
          <w:sz w:val="24"/>
          <w:szCs w:val="24"/>
        </w:rPr>
      </w:pPr>
      <w:r w:rsidRPr="001B1AD9">
        <w:rPr>
          <w:rFonts w:ascii="Times New Roman" w:hAnsi="Times New Roman" w:cs="Times New Roman"/>
          <w:sz w:val="24"/>
          <w:szCs w:val="24"/>
        </w:rPr>
        <w:t xml:space="preserve">The CHRT further found that Canada’s underfunding of First Nation child welfare services creates an incentive to take First Nations children into care as a first resort rather than a last resort, thereby contributing to the mass overrepresentation of First Nations children in state and foster care across the country.  </w:t>
      </w:r>
      <w:r>
        <w:rPr>
          <w:rFonts w:ascii="Times New Roman" w:hAnsi="Times New Roman" w:cs="Times New Roman"/>
          <w:sz w:val="24"/>
          <w:szCs w:val="24"/>
        </w:rPr>
        <w:t xml:space="preserve">This led the CHRT to liken </w:t>
      </w:r>
      <w:r w:rsidRPr="001B1AD9">
        <w:rPr>
          <w:rFonts w:ascii="Times New Roman" w:hAnsi="Times New Roman" w:cs="Times New Roman"/>
          <w:sz w:val="24"/>
          <w:szCs w:val="24"/>
        </w:rPr>
        <w:t>today’s child welfare system to the I</w:t>
      </w:r>
      <w:r>
        <w:rPr>
          <w:rFonts w:ascii="Times New Roman" w:hAnsi="Times New Roman" w:cs="Times New Roman"/>
          <w:sz w:val="24"/>
          <w:szCs w:val="24"/>
        </w:rPr>
        <w:t>RS</w:t>
      </w:r>
      <w:r w:rsidRPr="001B1AD9">
        <w:rPr>
          <w:rFonts w:ascii="Times New Roman" w:hAnsi="Times New Roman" w:cs="Times New Roman"/>
          <w:sz w:val="24"/>
          <w:szCs w:val="24"/>
        </w:rPr>
        <w:t xml:space="preserve"> </w:t>
      </w:r>
      <w:r w:rsidRPr="001B1AD9">
        <w:rPr>
          <w:rFonts w:ascii="Times New Roman" w:hAnsi="Times New Roman" w:cs="Times New Roman"/>
          <w:sz w:val="24"/>
          <w:szCs w:val="24"/>
        </w:rPr>
        <w:lastRenderedPageBreak/>
        <w:t>system, by removing children from their families, languages, cultures</w:t>
      </w:r>
      <w:r>
        <w:rPr>
          <w:rFonts w:ascii="Times New Roman" w:hAnsi="Times New Roman" w:cs="Times New Roman"/>
          <w:sz w:val="24"/>
          <w:szCs w:val="24"/>
        </w:rPr>
        <w:t>,</w:t>
      </w:r>
      <w:r w:rsidRPr="001B1AD9">
        <w:rPr>
          <w:rFonts w:ascii="Times New Roman" w:hAnsi="Times New Roman" w:cs="Times New Roman"/>
          <w:sz w:val="24"/>
          <w:szCs w:val="24"/>
        </w:rPr>
        <w:t xml:space="preserve"> and communities, and also by continuing the pervasive pattern of government control over the lives of Indigenous peoples:</w:t>
      </w:r>
    </w:p>
    <w:p w14:paraId="7EDBF003" w14:textId="03C94F4C" w:rsidR="00B47858" w:rsidRPr="00032382" w:rsidRDefault="00B47858" w:rsidP="00684B3E">
      <w:pPr>
        <w:tabs>
          <w:tab w:val="left" w:pos="4116"/>
        </w:tabs>
        <w:ind w:left="720"/>
        <w:jc w:val="both"/>
        <w:rPr>
          <w:rFonts w:ascii="Times New Roman" w:hAnsi="Times New Roman" w:cs="Times New Roman"/>
          <w:sz w:val="24"/>
          <w:szCs w:val="24"/>
        </w:rPr>
      </w:pPr>
      <w:r w:rsidRPr="00F84132">
        <w:rPr>
          <w:rFonts w:ascii="Times New Roman" w:hAnsi="Times New Roman" w:cs="Times New Roman"/>
          <w:sz w:val="20"/>
          <w:szCs w:val="20"/>
        </w:rPr>
        <w:t>Similar to the Residential Schools era, today, the fate and future of many First Nations children is still being determined by the government, whether it is through the application of restrictive and inadequate funding formulas or through bilateral agreements with the provinces.</w:t>
      </w:r>
      <w:r w:rsidRPr="00A64F38">
        <w:rPr>
          <w:rStyle w:val="FootnoteReference"/>
          <w:rFonts w:ascii="Times New Roman" w:hAnsi="Times New Roman" w:cs="Times New Roman"/>
          <w:sz w:val="20"/>
          <w:szCs w:val="20"/>
        </w:rPr>
        <w:footnoteReference w:id="59"/>
      </w:r>
      <w:r w:rsidRPr="00032382">
        <w:rPr>
          <w:rFonts w:ascii="Times New Roman" w:hAnsi="Times New Roman" w:cs="Times New Roman"/>
          <w:sz w:val="24"/>
          <w:szCs w:val="24"/>
        </w:rPr>
        <w:t xml:space="preserve">  </w:t>
      </w:r>
    </w:p>
    <w:p w14:paraId="0D323DF7" w14:textId="77777777" w:rsidR="00B47858" w:rsidRDefault="00B47858" w:rsidP="00684B3E">
      <w:pPr>
        <w:tabs>
          <w:tab w:val="left" w:pos="1168"/>
        </w:tabs>
        <w:jc w:val="both"/>
        <w:rPr>
          <w:rFonts w:ascii="Times New Roman" w:hAnsi="Times New Roman" w:cs="Times New Roman"/>
          <w:sz w:val="24"/>
          <w:szCs w:val="24"/>
        </w:rPr>
      </w:pPr>
    </w:p>
    <w:p w14:paraId="75711891" w14:textId="5BF74EF7" w:rsidR="00B47858" w:rsidRPr="00760416" w:rsidRDefault="00B47858" w:rsidP="00684B3E">
      <w:pPr>
        <w:pStyle w:val="ListParagraph"/>
        <w:numPr>
          <w:ilvl w:val="0"/>
          <w:numId w:val="1"/>
        </w:numPr>
        <w:ind w:left="0" w:firstLine="0"/>
        <w:jc w:val="both"/>
        <w:rPr>
          <w:rFonts w:ascii="Times New Roman" w:hAnsi="Times New Roman" w:cs="Times New Roman"/>
          <w:sz w:val="24"/>
          <w:szCs w:val="24"/>
        </w:rPr>
      </w:pPr>
      <w:r w:rsidRPr="001B1AD9">
        <w:rPr>
          <w:rFonts w:ascii="Times New Roman" w:hAnsi="Times New Roman" w:cs="Times New Roman"/>
          <w:sz w:val="24"/>
          <w:szCs w:val="24"/>
        </w:rPr>
        <w:t xml:space="preserve">Finally, the CHRT found that the federal government’s stated policy approach of funding levels similar to the provinces (a standard which the CHRT found Canada had, </w:t>
      </w:r>
      <w:r>
        <w:rPr>
          <w:rFonts w:ascii="Times New Roman" w:hAnsi="Times New Roman" w:cs="Times New Roman"/>
          <w:sz w:val="24"/>
          <w:szCs w:val="24"/>
        </w:rPr>
        <w:t>on the facts</w:t>
      </w:r>
      <w:r w:rsidRPr="001B1AD9">
        <w:rPr>
          <w:rFonts w:ascii="Times New Roman" w:hAnsi="Times New Roman" w:cs="Times New Roman"/>
          <w:sz w:val="24"/>
          <w:szCs w:val="24"/>
        </w:rPr>
        <w:t xml:space="preserve">, failed to meet) was </w:t>
      </w:r>
      <w:r w:rsidRPr="001B1AD9">
        <w:rPr>
          <w:rFonts w:ascii="Times New Roman" w:hAnsi="Times New Roman" w:cs="Times New Roman"/>
          <w:i/>
          <w:sz w:val="24"/>
          <w:szCs w:val="24"/>
        </w:rPr>
        <w:t>itself</w:t>
      </w:r>
      <w:r w:rsidRPr="001B1AD9">
        <w:rPr>
          <w:rFonts w:ascii="Times New Roman" w:hAnsi="Times New Roman" w:cs="Times New Roman"/>
          <w:sz w:val="24"/>
          <w:szCs w:val="24"/>
        </w:rPr>
        <w:t xml:space="preserve"> discriminatory.  On this, the CHRT held that an approach that seeks to mirror funding provided by the provinces and territories is not consistent with </w:t>
      </w:r>
      <w:r w:rsidRPr="002C704E">
        <w:rPr>
          <w:rFonts w:ascii="Times New Roman" w:hAnsi="Times New Roman" w:cs="Times New Roman"/>
          <w:sz w:val="24"/>
          <w:szCs w:val="24"/>
        </w:rPr>
        <w:t>substantive equality</w:t>
      </w:r>
      <w:r w:rsidRPr="001B1AD9">
        <w:rPr>
          <w:rFonts w:ascii="Times New Roman" w:hAnsi="Times New Roman" w:cs="Times New Roman"/>
          <w:sz w:val="24"/>
          <w:szCs w:val="24"/>
        </w:rPr>
        <w:t xml:space="preserve"> as it does not consider “the distinct needs and circumstances of First Nations children and families living on reserve, including their cultural, historical and geographical ne</w:t>
      </w:r>
      <w:r>
        <w:rPr>
          <w:rFonts w:ascii="Times New Roman" w:hAnsi="Times New Roman" w:cs="Times New Roman"/>
          <w:sz w:val="24"/>
          <w:szCs w:val="24"/>
        </w:rPr>
        <w:t>eds and circumstances.”</w:t>
      </w:r>
      <w:r>
        <w:rPr>
          <w:rStyle w:val="FootnoteReference"/>
          <w:rFonts w:ascii="Times New Roman" w:hAnsi="Times New Roman" w:cs="Times New Roman"/>
          <w:sz w:val="24"/>
          <w:szCs w:val="24"/>
        </w:rPr>
        <w:footnoteReference w:id="60"/>
      </w:r>
      <w:r w:rsidRPr="001B1AD9">
        <w:rPr>
          <w:rFonts w:ascii="Times New Roman" w:hAnsi="Times New Roman" w:cs="Times New Roman"/>
          <w:sz w:val="24"/>
          <w:szCs w:val="24"/>
        </w:rPr>
        <w:t xml:space="preserve"> This finding was based on both international and domestic hum</w:t>
      </w:r>
      <w:r>
        <w:rPr>
          <w:rFonts w:ascii="Times New Roman" w:hAnsi="Times New Roman" w:cs="Times New Roman"/>
          <w:sz w:val="24"/>
          <w:szCs w:val="24"/>
        </w:rPr>
        <w:t>an rights principles</w:t>
      </w:r>
      <w:r w:rsidRPr="001B1AD9">
        <w:rPr>
          <w:rFonts w:ascii="Times New Roman" w:hAnsi="Times New Roman" w:cs="Times New Roman"/>
          <w:sz w:val="24"/>
          <w:szCs w:val="24"/>
        </w:rPr>
        <w:t>.</w:t>
      </w:r>
      <w:r>
        <w:rPr>
          <w:rStyle w:val="FootnoteReference"/>
          <w:rFonts w:ascii="Times New Roman" w:hAnsi="Times New Roman" w:cs="Times New Roman"/>
          <w:sz w:val="24"/>
          <w:szCs w:val="24"/>
        </w:rPr>
        <w:footnoteReference w:id="61"/>
      </w:r>
      <w:r w:rsidRPr="001B1AD9">
        <w:rPr>
          <w:rFonts w:ascii="Times New Roman" w:hAnsi="Times New Roman" w:cs="Times New Roman"/>
          <w:sz w:val="24"/>
          <w:szCs w:val="24"/>
        </w:rPr>
        <w:t xml:space="preserve">  According to the CHRT, in order to meet the governing standard of equality, both funding and services on reserve must meet the needs of First Nations children and families and be culturally appropriate.  </w:t>
      </w:r>
      <w:r>
        <w:rPr>
          <w:rFonts w:ascii="Times New Roman" w:hAnsi="Times New Roman" w:cs="Times New Roman"/>
          <w:sz w:val="24"/>
          <w:szCs w:val="24"/>
        </w:rPr>
        <w:t>S</w:t>
      </w:r>
      <w:r w:rsidRPr="00760416">
        <w:rPr>
          <w:rFonts w:ascii="Times New Roman" w:hAnsi="Times New Roman" w:cs="Times New Roman"/>
          <w:sz w:val="24"/>
          <w:szCs w:val="24"/>
        </w:rPr>
        <w:t xml:space="preserve">uch a principle likely has application to other service areas affecting Indigenous peoples.  </w:t>
      </w:r>
    </w:p>
    <w:p w14:paraId="0F820EC3" w14:textId="30386FEF" w:rsidR="00B47858" w:rsidRDefault="00B47858" w:rsidP="00684B3E">
      <w:pPr>
        <w:pStyle w:val="ListParagraph"/>
        <w:ind w:left="0"/>
        <w:jc w:val="both"/>
        <w:rPr>
          <w:rFonts w:ascii="Times New Roman" w:hAnsi="Times New Roman" w:cs="Times New Roman"/>
          <w:sz w:val="24"/>
          <w:szCs w:val="24"/>
        </w:rPr>
      </w:pPr>
    </w:p>
    <w:p w14:paraId="404CF81F" w14:textId="057BD75D" w:rsidR="00B47858" w:rsidRPr="00760416" w:rsidRDefault="00B47858" w:rsidP="00684B3E">
      <w:pPr>
        <w:pStyle w:val="ListParagraph"/>
        <w:numPr>
          <w:ilvl w:val="0"/>
          <w:numId w:val="1"/>
        </w:numPr>
        <w:ind w:left="0" w:firstLine="0"/>
        <w:jc w:val="both"/>
        <w:rPr>
          <w:rFonts w:ascii="Times New Roman" w:hAnsi="Times New Roman" w:cs="Times New Roman"/>
          <w:sz w:val="24"/>
          <w:szCs w:val="24"/>
        </w:rPr>
      </w:pPr>
      <w:r w:rsidRPr="00C93A9C">
        <w:rPr>
          <w:rFonts w:ascii="Times New Roman" w:hAnsi="Times New Roman" w:cs="Times New Roman"/>
          <w:sz w:val="24"/>
          <w:szCs w:val="24"/>
        </w:rPr>
        <w:t xml:space="preserve">This understanding of substantive equality is </w:t>
      </w:r>
      <w:r>
        <w:rPr>
          <w:rFonts w:ascii="Times New Roman" w:hAnsi="Times New Roman" w:cs="Times New Roman"/>
          <w:sz w:val="24"/>
          <w:szCs w:val="24"/>
        </w:rPr>
        <w:t xml:space="preserve">supported </w:t>
      </w:r>
      <w:r w:rsidRPr="00C93A9C">
        <w:rPr>
          <w:rFonts w:ascii="Times New Roman" w:hAnsi="Times New Roman" w:cs="Times New Roman"/>
          <w:sz w:val="24"/>
          <w:szCs w:val="24"/>
        </w:rPr>
        <w:t>by precedent.  The principle of substantive equality re</w:t>
      </w:r>
      <w:r>
        <w:rPr>
          <w:rFonts w:ascii="Times New Roman" w:hAnsi="Times New Roman" w:cs="Times New Roman"/>
          <w:sz w:val="24"/>
          <w:szCs w:val="24"/>
        </w:rPr>
        <w:t>spects</w:t>
      </w:r>
      <w:r w:rsidRPr="00C93A9C">
        <w:rPr>
          <w:rFonts w:ascii="Times New Roman" w:hAnsi="Times New Roman" w:cs="Times New Roman"/>
          <w:sz w:val="24"/>
          <w:szCs w:val="24"/>
        </w:rPr>
        <w:t xml:space="preserve"> and celebrates difference, recognizing that all human beings </w:t>
      </w:r>
      <w:r>
        <w:rPr>
          <w:rFonts w:ascii="Times New Roman" w:hAnsi="Times New Roman" w:cs="Times New Roman"/>
          <w:sz w:val="24"/>
          <w:szCs w:val="24"/>
        </w:rPr>
        <w:t xml:space="preserve">are </w:t>
      </w:r>
      <w:r w:rsidRPr="00C93A9C">
        <w:rPr>
          <w:rFonts w:ascii="Times New Roman" w:hAnsi="Times New Roman" w:cs="Times New Roman"/>
          <w:sz w:val="24"/>
          <w:szCs w:val="24"/>
        </w:rPr>
        <w:t>equally deserving of concern, respect</w:t>
      </w:r>
      <w:r>
        <w:rPr>
          <w:rFonts w:ascii="Times New Roman" w:hAnsi="Times New Roman" w:cs="Times New Roman"/>
          <w:sz w:val="24"/>
          <w:szCs w:val="24"/>
        </w:rPr>
        <w:t>,</w:t>
      </w:r>
      <w:r w:rsidRPr="00C93A9C">
        <w:rPr>
          <w:rFonts w:ascii="Times New Roman" w:hAnsi="Times New Roman" w:cs="Times New Roman"/>
          <w:sz w:val="24"/>
          <w:szCs w:val="24"/>
        </w:rPr>
        <w:t xml:space="preserve"> and consideration.</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In cases </w:t>
      </w:r>
      <w:r w:rsidRPr="00157B95">
        <w:rPr>
          <w:rFonts w:ascii="Times New Roman" w:hAnsi="Times New Roman" w:cs="Times New Roman"/>
          <w:sz w:val="24"/>
          <w:szCs w:val="24"/>
        </w:rPr>
        <w:t>involving services provided to Anglophone and Francophone communities</w:t>
      </w:r>
      <w:r>
        <w:rPr>
          <w:rFonts w:ascii="Times New Roman" w:hAnsi="Times New Roman" w:cs="Times New Roman"/>
          <w:sz w:val="24"/>
          <w:szCs w:val="24"/>
        </w:rPr>
        <w:t xml:space="preserve">, the SCC has affirmed </w:t>
      </w:r>
      <w:r w:rsidRPr="00157B95">
        <w:rPr>
          <w:rFonts w:ascii="Times New Roman" w:hAnsi="Times New Roman" w:cs="Times New Roman"/>
          <w:sz w:val="24"/>
          <w:szCs w:val="24"/>
        </w:rPr>
        <w:t>that substantive equality can mean distinctive content in the provision of similar services, depending on the nature and purpose of the services in issue, as well as the characteristics of the population to be served.</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Further, in the recent case of </w:t>
      </w:r>
      <w:r w:rsidRPr="00157B95">
        <w:rPr>
          <w:rFonts w:ascii="Times New Roman" w:hAnsi="Times New Roman" w:cs="Times New Roman"/>
          <w:i/>
          <w:sz w:val="24"/>
          <w:szCs w:val="24"/>
        </w:rPr>
        <w:t>Ewert v Canada</w:t>
      </w:r>
      <w:r>
        <w:rPr>
          <w:rFonts w:ascii="Times New Roman" w:hAnsi="Times New Roman" w:cs="Times New Roman"/>
          <w:sz w:val="24"/>
          <w:szCs w:val="24"/>
        </w:rPr>
        <w:t xml:space="preserve"> about corrections services to Indigenous peoples</w:t>
      </w:r>
      <w:r w:rsidRPr="00157B95">
        <w:rPr>
          <w:rFonts w:ascii="Times New Roman" w:hAnsi="Times New Roman" w:cs="Times New Roman"/>
          <w:sz w:val="24"/>
          <w:szCs w:val="24"/>
        </w:rPr>
        <w:t xml:space="preserve">, the SCC held that </w:t>
      </w:r>
      <w:r>
        <w:rPr>
          <w:rFonts w:ascii="Times New Roman" w:hAnsi="Times New Roman" w:cs="Times New Roman"/>
          <w:sz w:val="24"/>
          <w:szCs w:val="24"/>
        </w:rPr>
        <w:t>it is a</w:t>
      </w:r>
      <w:r w:rsidRPr="00157B95">
        <w:rPr>
          <w:rFonts w:ascii="Times New Roman" w:hAnsi="Times New Roman" w:cs="Times New Roman"/>
          <w:sz w:val="24"/>
          <w:szCs w:val="24"/>
        </w:rPr>
        <w:t xml:space="preserve"> “long-standing principle of</w:t>
      </w:r>
      <w:r w:rsidRPr="00157B95">
        <w:rPr>
          <w:rFonts w:ascii="Times New Roman" w:hAnsi="Times New Roman" w:cs="Times New Roman"/>
          <w:color w:val="000000"/>
          <w:sz w:val="24"/>
          <w:szCs w:val="24"/>
          <w:shd w:val="clear" w:color="auto" w:fill="FFFFFF"/>
        </w:rPr>
        <w:t xml:space="preserve"> Canadian law that substantive equality requires more than simply equal treatment</w:t>
      </w:r>
      <w:r>
        <w:rPr>
          <w:rFonts w:ascii="Times New Roman" w:hAnsi="Times New Roman" w:cs="Times New Roman"/>
          <w:color w:val="000000"/>
          <w:sz w:val="24"/>
          <w:szCs w:val="24"/>
          <w:shd w:val="clear" w:color="auto" w:fill="FFFFFF"/>
        </w:rPr>
        <w:t>.</w:t>
      </w:r>
      <w:r w:rsidRPr="00157B95">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64"/>
      </w:r>
    </w:p>
    <w:p w14:paraId="4D496552" w14:textId="77777777" w:rsidR="00B47858" w:rsidRPr="00760416" w:rsidRDefault="00B47858" w:rsidP="00684B3E">
      <w:pPr>
        <w:pStyle w:val="ListParagraph"/>
        <w:ind w:left="0"/>
        <w:jc w:val="both"/>
        <w:rPr>
          <w:rFonts w:ascii="Times New Roman" w:hAnsi="Times New Roman" w:cs="Times New Roman"/>
          <w:sz w:val="24"/>
          <w:szCs w:val="24"/>
        </w:rPr>
      </w:pPr>
    </w:p>
    <w:p w14:paraId="66FA108D" w14:textId="1B06112F"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2C704E">
        <w:rPr>
          <w:rFonts w:ascii="Times New Roman" w:hAnsi="Times New Roman" w:cs="Times New Roman"/>
          <w:sz w:val="24"/>
          <w:szCs w:val="24"/>
        </w:rPr>
        <w:t xml:space="preserve">In our view, by stating that child welfare services must meet the actual needs and circumstances of First Nations children and families, and not be assimilative in nature, the CHRT’s decision effectively recognizes that First Nations must exercise meaningful control over the design and delivery of child welfare as a matter of domestic human rights law.  In other words, </w:t>
      </w:r>
      <w:r w:rsidRPr="002C704E">
        <w:rPr>
          <w:rFonts w:ascii="Times New Roman" w:hAnsi="Times New Roman" w:cs="Times New Roman"/>
          <w:i/>
          <w:noProof/>
          <w:sz w:val="24"/>
          <w:szCs w:val="24"/>
        </w:rPr>
        <w:t>Caring</w:t>
      </w:r>
      <w:r w:rsidRPr="002C704E">
        <w:rPr>
          <w:rFonts w:ascii="Times New Roman" w:hAnsi="Times New Roman" w:cs="Times New Roman"/>
          <w:i/>
          <w:sz w:val="24"/>
          <w:szCs w:val="24"/>
        </w:rPr>
        <w:t xml:space="preserve"> Society</w:t>
      </w:r>
      <w:r w:rsidRPr="002C704E">
        <w:rPr>
          <w:rFonts w:ascii="Times New Roman" w:hAnsi="Times New Roman" w:cs="Times New Roman"/>
          <w:sz w:val="24"/>
          <w:szCs w:val="24"/>
        </w:rPr>
        <w:t xml:space="preserve"> </w:t>
      </w:r>
      <w:r>
        <w:rPr>
          <w:rFonts w:ascii="Times New Roman" w:hAnsi="Times New Roman" w:cs="Times New Roman"/>
          <w:sz w:val="24"/>
          <w:szCs w:val="24"/>
        </w:rPr>
        <w:t xml:space="preserve">implicitly </w:t>
      </w:r>
      <w:r w:rsidRPr="002C704E">
        <w:rPr>
          <w:rFonts w:ascii="Times New Roman" w:hAnsi="Times New Roman" w:cs="Times New Roman"/>
          <w:sz w:val="24"/>
          <w:szCs w:val="24"/>
        </w:rPr>
        <w:t xml:space="preserve">frames the exercise of Indigenous self-determination as a matter of substantive equality and human rights.  </w:t>
      </w:r>
    </w:p>
    <w:p w14:paraId="5AAB1584" w14:textId="132FD7BB" w:rsidR="00B47858" w:rsidRPr="002C704E" w:rsidRDefault="00B47858" w:rsidP="00684B3E">
      <w:pPr>
        <w:pStyle w:val="ListParagraph"/>
        <w:ind w:left="0"/>
        <w:jc w:val="both"/>
        <w:rPr>
          <w:rFonts w:ascii="Times New Roman" w:hAnsi="Times New Roman" w:cs="Times New Roman"/>
          <w:sz w:val="24"/>
          <w:szCs w:val="24"/>
        </w:rPr>
      </w:pPr>
    </w:p>
    <w:p w14:paraId="5AF91AE8" w14:textId="3309989D" w:rsidR="00B47858" w:rsidRPr="00E445E4" w:rsidRDefault="00B47858"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Further, we understand </w:t>
      </w:r>
      <w:r w:rsidRPr="00E445E4">
        <w:rPr>
          <w:rFonts w:ascii="Times New Roman" w:hAnsi="Times New Roman" w:cs="Times New Roman"/>
          <w:sz w:val="24"/>
          <w:szCs w:val="24"/>
        </w:rPr>
        <w:t xml:space="preserve">this principle </w:t>
      </w:r>
      <w:r>
        <w:rPr>
          <w:rFonts w:ascii="Times New Roman" w:hAnsi="Times New Roman" w:cs="Times New Roman"/>
          <w:sz w:val="24"/>
          <w:szCs w:val="24"/>
        </w:rPr>
        <w:t xml:space="preserve">to require more than simply having provincial governments accommodate Indigenous peoples within their laws.  Although such an approach was </w:t>
      </w:r>
      <w:r>
        <w:rPr>
          <w:rFonts w:ascii="Times New Roman" w:hAnsi="Times New Roman" w:cs="Times New Roman"/>
          <w:sz w:val="24"/>
          <w:szCs w:val="24"/>
        </w:rPr>
        <w:lastRenderedPageBreak/>
        <w:t xml:space="preserve">commended by the SCC in </w:t>
      </w:r>
      <w:r>
        <w:rPr>
          <w:rFonts w:ascii="Times New Roman" w:hAnsi="Times New Roman" w:cs="Times New Roman"/>
          <w:i/>
          <w:sz w:val="24"/>
          <w:szCs w:val="24"/>
        </w:rPr>
        <w:t>NIL/TU,O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in practice this often leads to a patchwork of laws across the country, with some Indigenous groups receiving greater protections than others.</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More importantly, </w:t>
      </w:r>
      <w:r w:rsidRPr="00E445E4">
        <w:rPr>
          <w:rFonts w:ascii="Times New Roman" w:hAnsi="Times New Roman" w:cs="Times New Roman"/>
          <w:sz w:val="24"/>
          <w:szCs w:val="24"/>
        </w:rPr>
        <w:t xml:space="preserve">this continues </w:t>
      </w:r>
      <w:r>
        <w:rPr>
          <w:rFonts w:ascii="Times New Roman" w:hAnsi="Times New Roman" w:cs="Times New Roman"/>
          <w:sz w:val="24"/>
          <w:szCs w:val="24"/>
        </w:rPr>
        <w:t>control by a non-Indigenous</w:t>
      </w:r>
      <w:r w:rsidRPr="00E445E4">
        <w:rPr>
          <w:rFonts w:ascii="Times New Roman" w:hAnsi="Times New Roman" w:cs="Times New Roman"/>
          <w:sz w:val="24"/>
          <w:szCs w:val="24"/>
        </w:rPr>
        <w:t xml:space="preserve"> government</w:t>
      </w:r>
      <w:r>
        <w:rPr>
          <w:rFonts w:ascii="Times New Roman" w:hAnsi="Times New Roman" w:cs="Times New Roman"/>
          <w:sz w:val="24"/>
          <w:szCs w:val="24"/>
        </w:rPr>
        <w:t>, which is assimilative in principle</w:t>
      </w:r>
      <w:r w:rsidRPr="00E445E4">
        <w:rPr>
          <w:rFonts w:ascii="Times New Roman" w:hAnsi="Times New Roman" w:cs="Times New Roman"/>
          <w:sz w:val="24"/>
          <w:szCs w:val="24"/>
        </w:rPr>
        <w:t xml:space="preserve">.  </w:t>
      </w:r>
      <w:r>
        <w:rPr>
          <w:rFonts w:ascii="Times New Roman" w:hAnsi="Times New Roman" w:cs="Times New Roman"/>
          <w:sz w:val="24"/>
          <w:szCs w:val="24"/>
        </w:rPr>
        <w:t xml:space="preserve">The problem has been succinctly stated as follows by a Carrier </w:t>
      </w:r>
      <w:proofErr w:type="spellStart"/>
      <w:r>
        <w:rPr>
          <w:rFonts w:ascii="Times New Roman" w:hAnsi="Times New Roman" w:cs="Times New Roman"/>
          <w:sz w:val="24"/>
          <w:szCs w:val="24"/>
        </w:rPr>
        <w:t>Sekani</w:t>
      </w:r>
      <w:proofErr w:type="spellEnd"/>
      <w:r>
        <w:rPr>
          <w:rFonts w:ascii="Times New Roman" w:hAnsi="Times New Roman" w:cs="Times New Roman"/>
          <w:sz w:val="24"/>
          <w:szCs w:val="24"/>
        </w:rPr>
        <w:t xml:space="preserve"> Tribal Council member in 1983: “</w:t>
      </w:r>
      <w:r w:rsidRPr="00F943C1">
        <w:rPr>
          <w:rFonts w:ascii="Times New Roman" w:hAnsi="Times New Roman" w:cs="Times New Roman"/>
          <w:sz w:val="24"/>
        </w:rPr>
        <w:t>Only Indian people can design systems for Indians.  Anything other than that is assimilation</w:t>
      </w:r>
      <w:r>
        <w:rPr>
          <w:rFonts w:ascii="Times New Roman" w:hAnsi="Times New Roman" w:cs="Times New Roman"/>
          <w:sz w:val="24"/>
        </w:rPr>
        <w:t>.</w:t>
      </w:r>
      <w:r w:rsidRPr="00F943C1">
        <w:rPr>
          <w:rFonts w:ascii="Times New Roman" w:hAnsi="Times New Roman" w:cs="Times New Roman"/>
          <w:sz w:val="24"/>
        </w:rPr>
        <w:t>”</w:t>
      </w:r>
      <w:r>
        <w:rPr>
          <w:rStyle w:val="FootnoteReference"/>
          <w:rFonts w:ascii="Times New Roman" w:hAnsi="Times New Roman" w:cs="Times New Roman"/>
          <w:sz w:val="24"/>
        </w:rPr>
        <w:footnoteReference w:id="67"/>
      </w:r>
    </w:p>
    <w:p w14:paraId="71B190EA" w14:textId="77777777" w:rsidR="00B47858" w:rsidRPr="00E445E4" w:rsidRDefault="00B47858" w:rsidP="00684B3E">
      <w:pPr>
        <w:pStyle w:val="ListParagraph"/>
        <w:rPr>
          <w:rFonts w:ascii="Times New Roman" w:hAnsi="Times New Roman" w:cs="Times New Roman"/>
          <w:sz w:val="24"/>
          <w:szCs w:val="24"/>
        </w:rPr>
      </w:pPr>
    </w:p>
    <w:p w14:paraId="42D866B2" w14:textId="7838EFCD" w:rsidR="00B47858" w:rsidRPr="00E445E4" w:rsidRDefault="00B47858" w:rsidP="00684B3E">
      <w:pPr>
        <w:pStyle w:val="ListParagraph"/>
        <w:numPr>
          <w:ilvl w:val="0"/>
          <w:numId w:val="1"/>
        </w:numPr>
        <w:ind w:left="0" w:firstLine="0"/>
        <w:jc w:val="both"/>
        <w:rPr>
          <w:rFonts w:ascii="Times New Roman" w:hAnsi="Times New Roman" w:cs="Times New Roman"/>
          <w:sz w:val="24"/>
          <w:szCs w:val="24"/>
        </w:rPr>
      </w:pPr>
      <w:r w:rsidRPr="00E445E4">
        <w:rPr>
          <w:rFonts w:ascii="Times New Roman" w:hAnsi="Times New Roman" w:cs="Times New Roman"/>
          <w:sz w:val="24"/>
          <w:szCs w:val="24"/>
        </w:rPr>
        <w:t xml:space="preserve">The principle we have distilled from the </w:t>
      </w:r>
      <w:r w:rsidRPr="00E445E4">
        <w:rPr>
          <w:rFonts w:ascii="Times New Roman" w:hAnsi="Times New Roman" w:cs="Times New Roman"/>
          <w:i/>
          <w:sz w:val="24"/>
          <w:szCs w:val="24"/>
        </w:rPr>
        <w:t>Caring Society</w:t>
      </w:r>
      <w:r w:rsidRPr="00E445E4">
        <w:rPr>
          <w:rFonts w:ascii="Times New Roman" w:hAnsi="Times New Roman" w:cs="Times New Roman"/>
          <w:sz w:val="24"/>
          <w:szCs w:val="24"/>
        </w:rPr>
        <w:t xml:space="preserve"> decision (effectively, a human right </w:t>
      </w:r>
      <w:r>
        <w:rPr>
          <w:rFonts w:ascii="Times New Roman" w:hAnsi="Times New Roman" w:cs="Times New Roman"/>
          <w:sz w:val="24"/>
          <w:szCs w:val="24"/>
        </w:rPr>
        <w:t xml:space="preserve">for Indigenous people </w:t>
      </w:r>
      <w:r w:rsidRPr="00E445E4">
        <w:rPr>
          <w:rFonts w:ascii="Times New Roman" w:hAnsi="Times New Roman" w:cs="Times New Roman"/>
          <w:sz w:val="24"/>
          <w:szCs w:val="24"/>
        </w:rPr>
        <w:t xml:space="preserve">to exercise meaningful control over the design and delivery of </w:t>
      </w:r>
      <w:r>
        <w:rPr>
          <w:rFonts w:ascii="Times New Roman" w:hAnsi="Times New Roman" w:cs="Times New Roman"/>
          <w:sz w:val="24"/>
          <w:szCs w:val="24"/>
        </w:rPr>
        <w:t xml:space="preserve">essential </w:t>
      </w:r>
      <w:r w:rsidRPr="00E445E4">
        <w:rPr>
          <w:rFonts w:ascii="Times New Roman" w:hAnsi="Times New Roman" w:cs="Times New Roman"/>
          <w:sz w:val="24"/>
          <w:szCs w:val="24"/>
        </w:rPr>
        <w:t xml:space="preserve">services) is in tension with </w:t>
      </w:r>
      <w:r w:rsidR="005573FE">
        <w:rPr>
          <w:rFonts w:ascii="Times New Roman" w:hAnsi="Times New Roman" w:cs="Times New Roman"/>
          <w:sz w:val="24"/>
          <w:szCs w:val="24"/>
        </w:rPr>
        <w:t xml:space="preserve">a notion of </w:t>
      </w:r>
      <w:r w:rsidRPr="00E445E4">
        <w:rPr>
          <w:rFonts w:ascii="Times New Roman" w:hAnsi="Times New Roman" w:cs="Times New Roman"/>
          <w:sz w:val="24"/>
          <w:szCs w:val="24"/>
        </w:rPr>
        <w:t>service regimes that place</w:t>
      </w:r>
      <w:r w:rsidR="00A64F38">
        <w:rPr>
          <w:rFonts w:ascii="Times New Roman" w:hAnsi="Times New Roman" w:cs="Times New Roman"/>
          <w:sz w:val="24"/>
          <w:szCs w:val="24"/>
        </w:rPr>
        <w:t>s</w:t>
      </w:r>
      <w:r w:rsidRPr="00E445E4">
        <w:rPr>
          <w:rFonts w:ascii="Times New Roman" w:hAnsi="Times New Roman" w:cs="Times New Roman"/>
          <w:sz w:val="24"/>
          <w:szCs w:val="24"/>
        </w:rPr>
        <w:t xml:space="preserve"> all legislative power over Indigenous peoples in federal and provincial governments.  Thus, although the CHRT did not go so far as to say that </w:t>
      </w:r>
      <w:r w:rsidR="009A4F6F">
        <w:rPr>
          <w:rFonts w:ascii="Times New Roman" w:hAnsi="Times New Roman" w:cs="Times New Roman"/>
          <w:sz w:val="24"/>
          <w:szCs w:val="24"/>
        </w:rPr>
        <w:t>s 88</w:t>
      </w:r>
      <w:r w:rsidRPr="00E445E4">
        <w:rPr>
          <w:rFonts w:ascii="Times New Roman" w:hAnsi="Times New Roman" w:cs="Times New Roman"/>
          <w:sz w:val="24"/>
          <w:szCs w:val="24"/>
        </w:rPr>
        <w:t xml:space="preserve"> and the </w:t>
      </w:r>
      <w:r w:rsidRPr="00E445E4">
        <w:rPr>
          <w:rFonts w:ascii="Times New Roman" w:hAnsi="Times New Roman" w:cs="Times New Roman"/>
          <w:i/>
          <w:sz w:val="24"/>
          <w:szCs w:val="24"/>
        </w:rPr>
        <w:t>Dick</w:t>
      </w:r>
      <w:r w:rsidRPr="00E445E4">
        <w:rPr>
          <w:rFonts w:ascii="Times New Roman" w:hAnsi="Times New Roman" w:cs="Times New Roman"/>
          <w:sz w:val="24"/>
          <w:szCs w:val="24"/>
        </w:rPr>
        <w:t xml:space="preserve"> decision</w:t>
      </w:r>
      <w:r w:rsidR="00591675">
        <w:rPr>
          <w:rFonts w:ascii="Times New Roman" w:hAnsi="Times New Roman" w:cs="Times New Roman"/>
          <w:sz w:val="24"/>
          <w:szCs w:val="24"/>
        </w:rPr>
        <w:t xml:space="preserve"> </w:t>
      </w:r>
      <w:r w:rsidRPr="00E445E4">
        <w:rPr>
          <w:rFonts w:ascii="Times New Roman" w:hAnsi="Times New Roman" w:cs="Times New Roman"/>
          <w:sz w:val="24"/>
          <w:szCs w:val="24"/>
        </w:rPr>
        <w:t>result in discriminatory treatment of Indigenous peoples (as those legal questions were not directly raised in the case before it), this appears to us to be a clear implication of the ruling.</w:t>
      </w:r>
      <w:r>
        <w:rPr>
          <w:rStyle w:val="FootnoteReference"/>
          <w:rFonts w:ascii="Times New Roman" w:hAnsi="Times New Roman" w:cs="Times New Roman"/>
          <w:sz w:val="24"/>
          <w:szCs w:val="24"/>
        </w:rPr>
        <w:footnoteReference w:id="68"/>
      </w:r>
      <w:r w:rsidRPr="00E445E4">
        <w:rPr>
          <w:rFonts w:ascii="Times New Roman" w:hAnsi="Times New Roman" w:cs="Times New Roman"/>
          <w:sz w:val="24"/>
          <w:szCs w:val="24"/>
        </w:rPr>
        <w:t xml:space="preserve">  </w:t>
      </w:r>
    </w:p>
    <w:p w14:paraId="5F815CFE" w14:textId="3DE07A96" w:rsidR="00B47858" w:rsidRPr="00C55314" w:rsidRDefault="00B47858" w:rsidP="00684B3E">
      <w:pPr>
        <w:tabs>
          <w:tab w:val="left" w:pos="1168"/>
        </w:tabs>
        <w:jc w:val="both"/>
        <w:rPr>
          <w:rFonts w:ascii="Times New Roman" w:hAnsi="Times New Roman" w:cs="Times New Roman"/>
          <w:sz w:val="24"/>
          <w:szCs w:val="24"/>
        </w:rPr>
      </w:pPr>
    </w:p>
    <w:p w14:paraId="47D03485" w14:textId="4D68A5FD" w:rsidR="00B47858" w:rsidRPr="00F84132" w:rsidRDefault="00B47858" w:rsidP="00F84132">
      <w:pPr>
        <w:pStyle w:val="Heading3"/>
        <w:numPr>
          <w:ilvl w:val="0"/>
          <w:numId w:val="14"/>
        </w:numPr>
        <w:spacing w:after="200"/>
        <w:ind w:left="1134" w:hanging="425"/>
        <w:contextualSpacing w:val="0"/>
        <w:rPr>
          <w:b w:val="0"/>
          <w:bCs/>
          <w:i w:val="0"/>
          <w:iCs/>
          <w:lang w:val="en-US"/>
        </w:rPr>
      </w:pPr>
      <w:r w:rsidRPr="00F84132">
        <w:rPr>
          <w:b w:val="0"/>
          <w:bCs/>
          <w:i w:val="0"/>
          <w:iCs/>
          <w:lang w:val="en-US"/>
        </w:rPr>
        <w:t xml:space="preserve">Specific </w:t>
      </w:r>
      <w:r w:rsidR="005C6452">
        <w:rPr>
          <w:b w:val="0"/>
          <w:bCs/>
          <w:i w:val="0"/>
          <w:iCs/>
          <w:lang w:val="en-US"/>
        </w:rPr>
        <w:t>H</w:t>
      </w:r>
      <w:r w:rsidR="005C6452" w:rsidRPr="00F84132">
        <w:rPr>
          <w:b w:val="0"/>
          <w:bCs/>
          <w:i w:val="0"/>
          <w:iCs/>
          <w:lang w:val="en-US"/>
        </w:rPr>
        <w:t xml:space="preserve">arms </w:t>
      </w:r>
      <w:r w:rsidRPr="00F84132">
        <w:rPr>
          <w:b w:val="0"/>
          <w:bCs/>
          <w:i w:val="0"/>
          <w:iCs/>
          <w:lang w:val="en-US"/>
        </w:rPr>
        <w:t xml:space="preserve">in </w:t>
      </w:r>
      <w:r w:rsidR="005C6452">
        <w:rPr>
          <w:b w:val="0"/>
          <w:bCs/>
          <w:i w:val="0"/>
          <w:iCs/>
          <w:lang w:val="en-US"/>
        </w:rPr>
        <w:t>R</w:t>
      </w:r>
      <w:r w:rsidR="005C6452" w:rsidRPr="00F84132">
        <w:rPr>
          <w:b w:val="0"/>
          <w:bCs/>
          <w:i w:val="0"/>
          <w:iCs/>
          <w:lang w:val="en-US"/>
        </w:rPr>
        <w:t xml:space="preserve">elation </w:t>
      </w:r>
      <w:r w:rsidRPr="00F84132">
        <w:rPr>
          <w:b w:val="0"/>
          <w:bCs/>
          <w:i w:val="0"/>
          <w:iCs/>
          <w:lang w:val="en-US"/>
        </w:rPr>
        <w:t xml:space="preserve">to </w:t>
      </w:r>
      <w:proofErr w:type="spellStart"/>
      <w:r w:rsidR="005C6452">
        <w:rPr>
          <w:b w:val="0"/>
          <w:bCs/>
          <w:i w:val="0"/>
          <w:iCs/>
          <w:lang w:val="en-US"/>
        </w:rPr>
        <w:t>L</w:t>
      </w:r>
      <w:r w:rsidR="005C6452" w:rsidRPr="00F84132">
        <w:rPr>
          <w:b w:val="0"/>
          <w:bCs/>
          <w:i w:val="0"/>
          <w:iCs/>
          <w:lang w:val="en-US"/>
        </w:rPr>
        <w:t>abour</w:t>
      </w:r>
      <w:proofErr w:type="spellEnd"/>
      <w:r w:rsidR="005C6452" w:rsidRPr="00F84132">
        <w:rPr>
          <w:b w:val="0"/>
          <w:bCs/>
          <w:i w:val="0"/>
          <w:iCs/>
          <w:lang w:val="en-US"/>
        </w:rPr>
        <w:t xml:space="preserve"> </w:t>
      </w:r>
      <w:r w:rsidR="005C6452">
        <w:rPr>
          <w:b w:val="0"/>
          <w:bCs/>
          <w:i w:val="0"/>
          <w:iCs/>
          <w:lang w:val="en-US"/>
        </w:rPr>
        <w:t>J</w:t>
      </w:r>
      <w:r w:rsidR="005C6452" w:rsidRPr="00F84132">
        <w:rPr>
          <w:b w:val="0"/>
          <w:bCs/>
          <w:i w:val="0"/>
          <w:iCs/>
          <w:lang w:val="en-US"/>
        </w:rPr>
        <w:t>urisdiction</w:t>
      </w:r>
    </w:p>
    <w:p w14:paraId="3E655151" w14:textId="73072753" w:rsidR="00B47858" w:rsidRPr="006D1A41" w:rsidRDefault="00B47858" w:rsidP="00684B3E">
      <w:pPr>
        <w:pStyle w:val="ListParagraph"/>
        <w:numPr>
          <w:ilvl w:val="0"/>
          <w:numId w:val="1"/>
        </w:numPr>
        <w:ind w:left="0" w:firstLine="0"/>
        <w:jc w:val="both"/>
        <w:rPr>
          <w:rFonts w:ascii="Times New Roman" w:hAnsi="Times New Roman" w:cs="Times New Roman"/>
          <w:sz w:val="24"/>
          <w:szCs w:val="24"/>
        </w:rPr>
      </w:pPr>
      <w:r w:rsidRPr="00010BB3">
        <w:rPr>
          <w:rFonts w:ascii="Times New Roman" w:hAnsi="Times New Roman" w:cs="Times New Roman"/>
          <w:sz w:val="24"/>
          <w:szCs w:val="24"/>
        </w:rPr>
        <w:t xml:space="preserve">In </w:t>
      </w:r>
      <w:r>
        <w:rPr>
          <w:rFonts w:ascii="Times New Roman" w:hAnsi="Times New Roman" w:cs="Times New Roman"/>
          <w:iCs/>
          <w:sz w:val="24"/>
          <w:szCs w:val="24"/>
        </w:rPr>
        <w:t>the decisions below</w:t>
      </w:r>
      <w:r w:rsidRPr="00010BB3">
        <w:rPr>
          <w:rFonts w:ascii="Times New Roman" w:hAnsi="Times New Roman" w:cs="Times New Roman"/>
          <w:sz w:val="24"/>
          <w:szCs w:val="24"/>
        </w:rPr>
        <w:t>, the question of jurisdiction over labour jurisdiction was seen to be merely incidental to, or flowing from, the determination of which government had jurisdiction over the primary activity of the employees in question (</w:t>
      </w:r>
      <w:r>
        <w:rPr>
          <w:rFonts w:ascii="Times New Roman" w:hAnsi="Times New Roman" w:cs="Times New Roman"/>
          <w:sz w:val="24"/>
          <w:szCs w:val="24"/>
        </w:rPr>
        <w:t xml:space="preserve">e.g., </w:t>
      </w:r>
      <w:r w:rsidRPr="00010BB3">
        <w:rPr>
          <w:rFonts w:ascii="Times New Roman" w:hAnsi="Times New Roman" w:cs="Times New Roman"/>
          <w:sz w:val="24"/>
          <w:szCs w:val="24"/>
        </w:rPr>
        <w:t>delivery of child and family services).</w:t>
      </w:r>
      <w:r>
        <w:rPr>
          <w:rFonts w:ascii="Times New Roman" w:hAnsi="Times New Roman" w:cs="Times New Roman"/>
          <w:sz w:val="24"/>
          <w:szCs w:val="24"/>
        </w:rPr>
        <w:t xml:space="preserve">  This treats labour and employment jurisdiction as not independently important to Indigenous peoples.  Similarly, it was argued that, since </w:t>
      </w:r>
      <w:r w:rsidRPr="00010BB3">
        <w:rPr>
          <w:rFonts w:ascii="Times New Roman" w:hAnsi="Times New Roman" w:cs="Times New Roman"/>
          <w:sz w:val="24"/>
          <w:szCs w:val="24"/>
        </w:rPr>
        <w:t>none of the contested labour regimes in issue (those of Canada, British Columbia</w:t>
      </w:r>
      <w:r w:rsidR="00C30896">
        <w:rPr>
          <w:rFonts w:ascii="Times New Roman" w:hAnsi="Times New Roman" w:cs="Times New Roman"/>
          <w:sz w:val="24"/>
          <w:szCs w:val="24"/>
        </w:rPr>
        <w:t>,</w:t>
      </w:r>
      <w:r w:rsidRPr="00010BB3">
        <w:rPr>
          <w:rFonts w:ascii="Times New Roman" w:hAnsi="Times New Roman" w:cs="Times New Roman"/>
          <w:sz w:val="24"/>
          <w:szCs w:val="24"/>
        </w:rPr>
        <w:t xml:space="preserve"> and Ontario) were very different from each other, the choice of provincial jurisdiction over federal jurisdiction was of no real consequence to the affected Indigenous organizations. </w:t>
      </w:r>
      <w:r>
        <w:rPr>
          <w:rFonts w:ascii="Times New Roman" w:hAnsi="Times New Roman" w:cs="Times New Roman"/>
          <w:sz w:val="24"/>
          <w:szCs w:val="24"/>
        </w:rPr>
        <w:t xml:space="preserve"> This ignores the fact that, </w:t>
      </w:r>
      <w:r>
        <w:rPr>
          <w:rFonts w:ascii="Times New Roman" w:hAnsi="Times New Roman" w:cs="Times New Roman"/>
          <w:sz w:val="24"/>
          <w:szCs w:val="24"/>
          <w:lang w:val="en-US"/>
        </w:rPr>
        <w:t>a</w:t>
      </w:r>
      <w:r w:rsidRPr="006D1A41">
        <w:rPr>
          <w:rFonts w:ascii="Times New Roman" w:hAnsi="Times New Roman" w:cs="Times New Roman"/>
          <w:sz w:val="24"/>
          <w:szCs w:val="24"/>
          <w:lang w:val="en-US"/>
        </w:rPr>
        <w:t xml:space="preserve">lthough the substantive standards between the contested legislation might be similar, Indigenous nations and agencies may nonetheless have good reason to resist the imposition of one over the other.  </w:t>
      </w:r>
    </w:p>
    <w:p w14:paraId="79ED9DD2" w14:textId="77777777" w:rsidR="00B47858" w:rsidRPr="00010BB3" w:rsidRDefault="00B47858" w:rsidP="00684B3E">
      <w:pPr>
        <w:pStyle w:val="ListParagraph"/>
        <w:rPr>
          <w:rFonts w:ascii="Times New Roman" w:hAnsi="Times New Roman" w:cs="Times New Roman"/>
          <w:sz w:val="24"/>
          <w:szCs w:val="24"/>
        </w:rPr>
      </w:pPr>
    </w:p>
    <w:p w14:paraId="0225FBCB" w14:textId="532F84CE" w:rsidR="00B47858" w:rsidRPr="00010BB3" w:rsidRDefault="00B47858" w:rsidP="00F84132">
      <w:pPr>
        <w:pStyle w:val="ListParagraph"/>
        <w:numPr>
          <w:ilvl w:val="0"/>
          <w:numId w:val="1"/>
        </w:numPr>
        <w:spacing w:after="160"/>
        <w:ind w:left="0" w:firstLine="0"/>
        <w:contextualSpacing w:val="0"/>
        <w:jc w:val="both"/>
        <w:rPr>
          <w:rFonts w:ascii="Times New Roman" w:hAnsi="Times New Roman" w:cs="Times New Roman"/>
          <w:sz w:val="24"/>
          <w:szCs w:val="24"/>
        </w:rPr>
      </w:pPr>
      <w:r w:rsidRPr="00010BB3">
        <w:rPr>
          <w:rFonts w:ascii="Times New Roman" w:hAnsi="Times New Roman" w:cs="Times New Roman"/>
          <w:sz w:val="24"/>
          <w:szCs w:val="24"/>
          <w:lang w:val="en-US"/>
        </w:rPr>
        <w:t xml:space="preserve">On one level, Indigenous resistance may be a principled stand against </w:t>
      </w:r>
      <w:r>
        <w:rPr>
          <w:rFonts w:ascii="Times New Roman" w:hAnsi="Times New Roman" w:cs="Times New Roman"/>
          <w:sz w:val="24"/>
          <w:szCs w:val="24"/>
          <w:lang w:val="en-US"/>
        </w:rPr>
        <w:t xml:space="preserve">an </w:t>
      </w:r>
      <w:r w:rsidRPr="00010BB3">
        <w:rPr>
          <w:rFonts w:ascii="Times New Roman" w:hAnsi="Times New Roman" w:cs="Times New Roman"/>
          <w:sz w:val="24"/>
          <w:szCs w:val="24"/>
          <w:lang w:val="en-US"/>
        </w:rPr>
        <w:t>outside entit</w:t>
      </w:r>
      <w:r w:rsidR="00172FF4">
        <w:rPr>
          <w:rFonts w:ascii="Times New Roman" w:hAnsi="Times New Roman" w:cs="Times New Roman"/>
          <w:sz w:val="24"/>
          <w:szCs w:val="24"/>
          <w:lang w:val="en-US"/>
        </w:rPr>
        <w:t>y’s</w:t>
      </w:r>
      <w:r w:rsidRPr="00010BB3">
        <w:rPr>
          <w:rFonts w:ascii="Times New Roman" w:hAnsi="Times New Roman" w:cs="Times New Roman"/>
          <w:sz w:val="24"/>
          <w:szCs w:val="24"/>
          <w:lang w:val="en-US"/>
        </w:rPr>
        <w:t xml:space="preserve"> imposition of identities and systems upon them.  As observed by Maggie Wente</w:t>
      </w:r>
      <w:r w:rsidRPr="00010BB3">
        <w:rPr>
          <w:rStyle w:val="A2"/>
          <w:rFonts w:ascii="Times New Roman" w:hAnsi="Times New Roman" w:cs="Times New Roman"/>
          <w:color w:val="auto"/>
          <w:sz w:val="24"/>
          <w:szCs w:val="24"/>
        </w:rPr>
        <w:t>:</w:t>
      </w:r>
    </w:p>
    <w:p w14:paraId="4FB8B8FE" w14:textId="7A237EA2" w:rsidR="00B47858" w:rsidRPr="00F84132" w:rsidRDefault="00B47858" w:rsidP="00F84132">
      <w:pPr>
        <w:spacing w:after="160"/>
        <w:ind w:left="720"/>
        <w:jc w:val="both"/>
        <w:rPr>
          <w:rStyle w:val="A2"/>
          <w:rFonts w:ascii="Times New Roman" w:hAnsi="Times New Roman" w:cs="Times New Roman"/>
          <w:color w:val="auto"/>
          <w:sz w:val="20"/>
          <w:szCs w:val="20"/>
          <w:highlight w:val="yellow"/>
          <w:lang w:val="en-US"/>
        </w:rPr>
      </w:pPr>
      <w:r w:rsidRPr="00F84132">
        <w:rPr>
          <w:rFonts w:ascii="Times New Roman" w:hAnsi="Times New Roman" w:cs="Times New Roman"/>
          <w:sz w:val="20"/>
          <w:szCs w:val="20"/>
        </w:rPr>
        <w:t>The positions taken by Native Child in its argument to the Supreme Court demonstrate clear resistance to the non-Aboriginal third party, the Commu</w:t>
      </w:r>
      <w:r w:rsidRPr="00F84132">
        <w:rPr>
          <w:rFonts w:ascii="Times New Roman" w:hAnsi="Times New Roman" w:cs="Times New Roman"/>
          <w:sz w:val="20"/>
          <w:szCs w:val="20"/>
        </w:rPr>
        <w:softHyphen/>
        <w:t xml:space="preserve">nications, Energy, and </w:t>
      </w:r>
      <w:proofErr w:type="spellStart"/>
      <w:r w:rsidRPr="00F84132">
        <w:rPr>
          <w:rFonts w:ascii="Times New Roman" w:hAnsi="Times New Roman" w:cs="Times New Roman"/>
          <w:sz w:val="20"/>
          <w:szCs w:val="20"/>
        </w:rPr>
        <w:t>Paperworkers</w:t>
      </w:r>
      <w:proofErr w:type="spellEnd"/>
      <w:r w:rsidRPr="00F84132">
        <w:rPr>
          <w:rFonts w:ascii="Times New Roman" w:hAnsi="Times New Roman" w:cs="Times New Roman"/>
          <w:sz w:val="20"/>
          <w:szCs w:val="20"/>
        </w:rPr>
        <w:t xml:space="preserve"> Union (CEP) purporting to define the aspects that are at the core of Aboriginal people’s identities and aspirations, and specifically attempting to define for the Court the purposes and aspira</w:t>
      </w:r>
      <w:r w:rsidRPr="00F84132">
        <w:rPr>
          <w:rFonts w:ascii="Times New Roman" w:hAnsi="Times New Roman" w:cs="Times New Roman"/>
          <w:sz w:val="20"/>
          <w:szCs w:val="20"/>
        </w:rPr>
        <w:softHyphen/>
        <w:t xml:space="preserve">tions of Native Child as an agency.  It is obvious to most people familiar with Aboriginal peoples that the attempted imposition of identity and aspirations </w:t>
      </w:r>
      <w:r w:rsidRPr="00F84132">
        <w:rPr>
          <w:rStyle w:val="A2"/>
          <w:rFonts w:ascii="Times New Roman" w:hAnsi="Times New Roman" w:cs="Times New Roman"/>
          <w:sz w:val="20"/>
          <w:szCs w:val="20"/>
        </w:rPr>
        <w:t xml:space="preserve">by </w:t>
      </w:r>
      <w:r w:rsidRPr="00F84132">
        <w:rPr>
          <w:rStyle w:val="A2"/>
          <w:rFonts w:ascii="Times New Roman" w:hAnsi="Times New Roman" w:cs="Times New Roman"/>
          <w:sz w:val="20"/>
          <w:szCs w:val="20"/>
        </w:rPr>
        <w:lastRenderedPageBreak/>
        <w:t>a non-Aboriginal party strikes at the heart of the modern political struggles of Aboriginal peoples for self-determination in a “post-colonial” world.</w:t>
      </w:r>
      <w:r w:rsidRPr="00920B18">
        <w:rPr>
          <w:rStyle w:val="FootnoteReference"/>
          <w:rFonts w:ascii="Times New Roman" w:hAnsi="Times New Roman" w:cs="Times New Roman"/>
          <w:color w:val="000000"/>
          <w:sz w:val="20"/>
          <w:szCs w:val="20"/>
        </w:rPr>
        <w:footnoteReference w:id="69"/>
      </w:r>
      <w:r w:rsidRPr="00F84132">
        <w:rPr>
          <w:rStyle w:val="A2"/>
          <w:rFonts w:ascii="Times New Roman" w:hAnsi="Times New Roman" w:cs="Times New Roman"/>
          <w:color w:val="auto"/>
          <w:sz w:val="20"/>
          <w:szCs w:val="20"/>
        </w:rPr>
        <w:t xml:space="preserve"> </w:t>
      </w:r>
    </w:p>
    <w:p w14:paraId="230AB69A" w14:textId="755765FD" w:rsidR="00B47858" w:rsidRPr="00937A59" w:rsidRDefault="00B47858" w:rsidP="00684B3E">
      <w:pPr>
        <w:widowControl w:val="0"/>
        <w:autoSpaceDE w:val="0"/>
        <w:autoSpaceDN w:val="0"/>
        <w:adjustRightInd w:val="0"/>
        <w:jc w:val="both"/>
        <w:rPr>
          <w:rFonts w:ascii="Times New Roman" w:hAnsi="Times New Roman" w:cs="Times New Roman"/>
          <w:sz w:val="24"/>
          <w:szCs w:val="24"/>
          <w:lang w:val="en-US"/>
        </w:rPr>
      </w:pPr>
      <w:r w:rsidRPr="008A7CE2">
        <w:rPr>
          <w:rFonts w:ascii="Times New Roman" w:hAnsi="Times New Roman" w:cs="Times New Roman"/>
          <w:color w:val="000000"/>
          <w:sz w:val="24"/>
          <w:szCs w:val="24"/>
        </w:rPr>
        <w:t>Wente also suggests that a</w:t>
      </w:r>
      <w:r>
        <w:rPr>
          <w:rFonts w:ascii="Times New Roman" w:hAnsi="Times New Roman" w:cs="Times New Roman"/>
          <w:color w:val="000000"/>
          <w:sz w:val="24"/>
          <w:szCs w:val="24"/>
        </w:rPr>
        <w:t>nother</w:t>
      </w:r>
      <w:r w:rsidRPr="008A7CE2">
        <w:rPr>
          <w:rFonts w:ascii="Times New Roman" w:hAnsi="Times New Roman" w:cs="Times New Roman"/>
          <w:color w:val="000000"/>
          <w:sz w:val="24"/>
          <w:szCs w:val="24"/>
        </w:rPr>
        <w:t xml:space="preserve"> source of resistance may be “</w:t>
      </w:r>
      <w:r w:rsidRPr="008A7CE2">
        <w:rPr>
          <w:rFonts w:ascii="Times New Roman" w:hAnsi="Times New Roman" w:cs="Times New Roman"/>
          <w:sz w:val="24"/>
          <w:szCs w:val="24"/>
        </w:rPr>
        <w:t>scepticism of settler-imposed methods of alternative dispute resolu</w:t>
      </w:r>
      <w:r w:rsidRPr="008A7CE2">
        <w:rPr>
          <w:rFonts w:ascii="Times New Roman" w:hAnsi="Times New Roman" w:cs="Times New Roman"/>
          <w:sz w:val="24"/>
          <w:szCs w:val="24"/>
        </w:rPr>
        <w:softHyphen/>
        <w:t>tion in the workplace</w:t>
      </w:r>
      <w:r>
        <w:rPr>
          <w:rFonts w:ascii="Times New Roman" w:hAnsi="Times New Roman" w:cs="Times New Roman"/>
          <w:sz w:val="24"/>
          <w:szCs w:val="24"/>
        </w:rPr>
        <w:t>.</w:t>
      </w:r>
      <w:r w:rsidRPr="008A7CE2">
        <w:rPr>
          <w:rFonts w:ascii="Times New Roman" w:hAnsi="Times New Roman" w:cs="Times New Roman"/>
          <w:sz w:val="24"/>
          <w:szCs w:val="24"/>
        </w:rPr>
        <w:t>”</w:t>
      </w:r>
      <w:r>
        <w:rPr>
          <w:rStyle w:val="FootnoteReference"/>
          <w:rFonts w:ascii="Times New Roman" w:hAnsi="Times New Roman" w:cs="Times New Roman"/>
          <w:sz w:val="24"/>
          <w:szCs w:val="24"/>
        </w:rPr>
        <w:footnoteReference w:id="70"/>
      </w:r>
      <w:r w:rsidRPr="008A7CE2">
        <w:rPr>
          <w:rFonts w:ascii="Times New Roman" w:hAnsi="Times New Roman" w:cs="Times New Roman"/>
          <w:sz w:val="24"/>
          <w:szCs w:val="24"/>
          <w:highlight w:val="yellow"/>
          <w:lang w:val="en-US"/>
        </w:rPr>
        <w:t xml:space="preserve"> </w:t>
      </w:r>
    </w:p>
    <w:p w14:paraId="1329BFF0" w14:textId="77777777" w:rsidR="00B47858" w:rsidRDefault="00B47858" w:rsidP="00684B3E">
      <w:pPr>
        <w:pStyle w:val="ListParagraph"/>
        <w:ind w:left="0"/>
        <w:jc w:val="both"/>
        <w:rPr>
          <w:rFonts w:ascii="Times New Roman" w:hAnsi="Times New Roman" w:cs="Times New Roman"/>
          <w:sz w:val="24"/>
          <w:szCs w:val="24"/>
          <w:lang w:val="en-US"/>
        </w:rPr>
      </w:pPr>
    </w:p>
    <w:p w14:paraId="327C47C1" w14:textId="0DC5EE69" w:rsidR="00B47858" w:rsidRPr="004D5C91" w:rsidRDefault="00B47858" w:rsidP="00F84132">
      <w:pPr>
        <w:pStyle w:val="ListParagraph"/>
        <w:numPr>
          <w:ilvl w:val="0"/>
          <w:numId w:val="1"/>
        </w:numPr>
        <w:spacing w:after="160"/>
        <w:ind w:left="0" w:firstLine="0"/>
        <w:contextualSpacing w:val="0"/>
        <w:jc w:val="both"/>
        <w:rPr>
          <w:rFonts w:ascii="Times New Roman" w:hAnsi="Times New Roman" w:cs="Times New Roman"/>
          <w:sz w:val="24"/>
          <w:szCs w:val="24"/>
          <w:lang w:val="en-US"/>
        </w:rPr>
      </w:pPr>
      <w:r w:rsidRPr="004D5C91">
        <w:rPr>
          <w:rFonts w:ascii="Times New Roman" w:hAnsi="Times New Roman" w:cs="Times New Roman"/>
          <w:sz w:val="24"/>
          <w:szCs w:val="24"/>
          <w:lang w:val="en-US"/>
        </w:rPr>
        <w:t xml:space="preserve">At another level, there are practical reasons why an Indigenous organization might choose one </w:t>
      </w:r>
      <w:proofErr w:type="spellStart"/>
      <w:r w:rsidRPr="004D5C91">
        <w:rPr>
          <w:rFonts w:ascii="Times New Roman" w:hAnsi="Times New Roman" w:cs="Times New Roman"/>
          <w:sz w:val="24"/>
          <w:szCs w:val="24"/>
          <w:lang w:val="en-US"/>
        </w:rPr>
        <w:t>labour</w:t>
      </w:r>
      <w:proofErr w:type="spellEnd"/>
      <w:r w:rsidRPr="004D5C91">
        <w:rPr>
          <w:rFonts w:ascii="Times New Roman" w:hAnsi="Times New Roman" w:cs="Times New Roman"/>
          <w:sz w:val="24"/>
          <w:szCs w:val="24"/>
          <w:lang w:val="en-US"/>
        </w:rPr>
        <w:t xml:space="preserve"> regime over another.  One obvious reason is to have a consistent set of rules apply to all agencies and entities operating under one Indigenous government.  The SCC’s ruling in the decisions below did not provide a clear, consistent rule for First Nation governments, but </w:t>
      </w:r>
      <w:r>
        <w:rPr>
          <w:rFonts w:ascii="Times New Roman" w:hAnsi="Times New Roman" w:cs="Times New Roman"/>
          <w:sz w:val="24"/>
          <w:szCs w:val="24"/>
          <w:lang w:val="en-US"/>
        </w:rPr>
        <w:t xml:space="preserve">continued the problem of arbitrarily subjecting </w:t>
      </w:r>
      <w:r w:rsidRPr="004D5C91">
        <w:rPr>
          <w:rFonts w:ascii="Times New Roman" w:hAnsi="Times New Roman" w:cs="Times New Roman"/>
          <w:sz w:val="24"/>
          <w:szCs w:val="24"/>
          <w:lang w:val="en-US"/>
        </w:rPr>
        <w:t xml:space="preserve">different sub-units of a </w:t>
      </w:r>
      <w:r>
        <w:rPr>
          <w:rFonts w:ascii="Times New Roman" w:hAnsi="Times New Roman" w:cs="Times New Roman"/>
          <w:sz w:val="24"/>
          <w:szCs w:val="24"/>
          <w:lang w:val="en-US"/>
        </w:rPr>
        <w:t>First Nation</w:t>
      </w:r>
      <w:r w:rsidRPr="004D5C91">
        <w:rPr>
          <w:rFonts w:ascii="Times New Roman" w:hAnsi="Times New Roman" w:cs="Times New Roman"/>
          <w:sz w:val="24"/>
          <w:szCs w:val="24"/>
          <w:lang w:val="en-US"/>
        </w:rPr>
        <w:t xml:space="preserve"> government to different </w:t>
      </w:r>
      <w:proofErr w:type="spellStart"/>
      <w:r w:rsidRPr="004D5C91">
        <w:rPr>
          <w:rFonts w:ascii="Times New Roman" w:hAnsi="Times New Roman" w:cs="Times New Roman"/>
          <w:sz w:val="24"/>
          <w:szCs w:val="24"/>
          <w:lang w:val="en-US"/>
        </w:rPr>
        <w:t>labour</w:t>
      </w:r>
      <w:proofErr w:type="spellEnd"/>
      <w:r w:rsidRPr="004D5C91">
        <w:rPr>
          <w:rFonts w:ascii="Times New Roman" w:hAnsi="Times New Roman" w:cs="Times New Roman"/>
          <w:sz w:val="24"/>
          <w:szCs w:val="24"/>
          <w:lang w:val="en-US"/>
        </w:rPr>
        <w:t xml:space="preserve"> regimes.  This is described by Wente: </w:t>
      </w:r>
    </w:p>
    <w:p w14:paraId="6BF9CBEA" w14:textId="2DD147B8" w:rsidR="00B47858" w:rsidRPr="00F84132" w:rsidRDefault="00B47858" w:rsidP="00684B3E">
      <w:pPr>
        <w:ind w:left="720"/>
        <w:jc w:val="both"/>
        <w:rPr>
          <w:rFonts w:ascii="Times New Roman" w:hAnsi="Times New Roman" w:cs="Times New Roman"/>
          <w:sz w:val="20"/>
          <w:szCs w:val="20"/>
          <w:lang w:val="en-US"/>
        </w:rPr>
      </w:pPr>
      <w:r w:rsidRPr="00F84132">
        <w:rPr>
          <w:rFonts w:ascii="Times New Roman" w:hAnsi="Times New Roman" w:cs="Times New Roman"/>
          <w:sz w:val="20"/>
          <w:szCs w:val="20"/>
          <w:lang w:val="en-US"/>
        </w:rPr>
        <w:t>There are myriad other kinds of Aboriginal organizations that will not fit into the neatly defined box of “unquestionably provincial” activities defined by the Supreme Court in these cases. For instance, it is not clear how, for example, First Nations-controlled organizations that provide technical advisory services (likely provincial in nature) to First Nations reserve communities (likely federal in nature) about resource development (likely federal in nature) that occurs on lands subject to treaty (while the lands are provincial in nature, developments may affect Aboriginal and Treaty rights, which are federal in nature) will fit neatly into either box after the functional test is carried out.</w:t>
      </w:r>
    </w:p>
    <w:p w14:paraId="0757651D" w14:textId="77777777" w:rsidR="00B47858" w:rsidRPr="00F84132" w:rsidRDefault="00B47858" w:rsidP="00684B3E">
      <w:pPr>
        <w:ind w:left="720"/>
        <w:jc w:val="both"/>
        <w:rPr>
          <w:rFonts w:ascii="Times New Roman" w:hAnsi="Times New Roman" w:cs="Times New Roman"/>
          <w:sz w:val="20"/>
          <w:szCs w:val="20"/>
          <w:lang w:val="en-US"/>
        </w:rPr>
      </w:pPr>
    </w:p>
    <w:p w14:paraId="18B154A3" w14:textId="3DA38951" w:rsidR="00B47858" w:rsidRDefault="00B47858" w:rsidP="00684B3E">
      <w:pPr>
        <w:ind w:left="720"/>
        <w:jc w:val="both"/>
        <w:rPr>
          <w:rFonts w:ascii="Times New Roman" w:hAnsi="Times New Roman" w:cs="Times New Roman"/>
          <w:sz w:val="24"/>
          <w:szCs w:val="24"/>
          <w:lang w:val="en-US"/>
        </w:rPr>
      </w:pPr>
      <w:r w:rsidRPr="00F84132">
        <w:rPr>
          <w:rFonts w:ascii="Times New Roman" w:hAnsi="Times New Roman" w:cs="Times New Roman"/>
          <w:sz w:val="20"/>
          <w:szCs w:val="20"/>
          <w:lang w:val="en-US"/>
        </w:rPr>
        <w:t>… In reality, it seems the result may be that the same First Nation’s employment relations could be provincially regulated for some branches of their operations, while remaining federally regulated for others. NIL/</w:t>
      </w:r>
      <w:proofErr w:type="gramStart"/>
      <w:r w:rsidRPr="00F84132">
        <w:rPr>
          <w:rFonts w:ascii="Times New Roman" w:hAnsi="Times New Roman" w:cs="Times New Roman"/>
          <w:sz w:val="20"/>
          <w:szCs w:val="20"/>
          <w:lang w:val="en-US"/>
        </w:rPr>
        <w:t>TU,O</w:t>
      </w:r>
      <w:proofErr w:type="gramEnd"/>
      <w:r w:rsidRPr="00F84132">
        <w:rPr>
          <w:rFonts w:ascii="Times New Roman" w:hAnsi="Times New Roman" w:cs="Times New Roman"/>
          <w:sz w:val="20"/>
          <w:szCs w:val="20"/>
          <w:lang w:val="en-US"/>
        </w:rPr>
        <w:t>, in its argument to the Court, pointed out this absurdity.</w:t>
      </w:r>
      <w:r w:rsidRPr="004412F3">
        <w:rPr>
          <w:rStyle w:val="FootnoteReference"/>
          <w:rFonts w:ascii="Times New Roman" w:hAnsi="Times New Roman" w:cs="Times New Roman"/>
          <w:sz w:val="20"/>
          <w:szCs w:val="20"/>
          <w:lang w:val="en-US"/>
        </w:rPr>
        <w:footnoteReference w:id="71"/>
      </w:r>
    </w:p>
    <w:p w14:paraId="13D3D601" w14:textId="77777777" w:rsidR="00B47858" w:rsidRDefault="00B47858" w:rsidP="00684B3E">
      <w:pPr>
        <w:jc w:val="both"/>
        <w:rPr>
          <w:rFonts w:ascii="Times New Roman" w:hAnsi="Times New Roman" w:cs="Times New Roman"/>
          <w:sz w:val="24"/>
          <w:szCs w:val="24"/>
          <w:lang w:val="en-US"/>
        </w:rPr>
      </w:pPr>
    </w:p>
    <w:p w14:paraId="08BDBB28" w14:textId="7D57D7FB" w:rsidR="00B47858" w:rsidRPr="00E47988" w:rsidRDefault="00B47858" w:rsidP="00684B3E">
      <w:pPr>
        <w:pStyle w:val="ListParagraph"/>
        <w:numPr>
          <w:ilvl w:val="0"/>
          <w:numId w:val="1"/>
        </w:numPr>
        <w:ind w:left="0" w:firstLine="0"/>
        <w:jc w:val="both"/>
        <w:rPr>
          <w:rFonts w:ascii="Times New Roman" w:hAnsi="Times New Roman" w:cs="Times New Roman"/>
          <w:i/>
          <w:sz w:val="24"/>
          <w:szCs w:val="24"/>
        </w:rPr>
      </w:pPr>
      <w:r w:rsidRPr="004D5C91">
        <w:rPr>
          <w:rFonts w:ascii="Times New Roman" w:hAnsi="Times New Roman" w:cs="Times New Roman"/>
          <w:sz w:val="24"/>
          <w:szCs w:val="24"/>
          <w:lang w:val="en-US"/>
        </w:rPr>
        <w:t xml:space="preserve">As the </w:t>
      </w:r>
      <w:r w:rsidRPr="004D5C91">
        <w:rPr>
          <w:rFonts w:ascii="Times New Roman" w:hAnsi="Times New Roman" w:cs="Times New Roman"/>
          <w:i/>
          <w:sz w:val="24"/>
          <w:szCs w:val="24"/>
          <w:lang w:val="en-US"/>
        </w:rPr>
        <w:t>NIL/</w:t>
      </w:r>
      <w:proofErr w:type="gramStart"/>
      <w:r w:rsidRPr="004D5C91">
        <w:rPr>
          <w:rFonts w:ascii="Times New Roman" w:hAnsi="Times New Roman" w:cs="Times New Roman"/>
          <w:i/>
          <w:sz w:val="24"/>
          <w:szCs w:val="24"/>
          <w:lang w:val="en-US"/>
        </w:rPr>
        <w:t>TU,O</w:t>
      </w:r>
      <w:proofErr w:type="gramEnd"/>
      <w:r w:rsidRPr="004D5C91">
        <w:rPr>
          <w:rFonts w:ascii="Times New Roman" w:hAnsi="Times New Roman" w:cs="Times New Roman"/>
          <w:sz w:val="24"/>
          <w:szCs w:val="24"/>
          <w:lang w:val="en-US"/>
        </w:rPr>
        <w:t xml:space="preserve"> analysis is also applied </w:t>
      </w:r>
      <w:r>
        <w:rPr>
          <w:rFonts w:ascii="Times New Roman" w:hAnsi="Times New Roman" w:cs="Times New Roman"/>
          <w:sz w:val="24"/>
          <w:szCs w:val="24"/>
          <w:lang w:val="en-US"/>
        </w:rPr>
        <w:t xml:space="preserve">by the courts </w:t>
      </w:r>
      <w:r w:rsidRPr="004D5C91">
        <w:rPr>
          <w:rFonts w:ascii="Times New Roman" w:hAnsi="Times New Roman" w:cs="Times New Roman"/>
          <w:sz w:val="24"/>
          <w:szCs w:val="24"/>
          <w:lang w:val="en-US"/>
        </w:rPr>
        <w:t>to determine which government has jurisdiction over human rights complaints, First Nations experience similar problems regarding human rights jurisdiction.  Wente points out that this can result in First Nations governments arbitrarily benefitting from certain protections of Indigenous collective rights and legal traditions</w:t>
      </w:r>
      <w:r>
        <w:rPr>
          <w:rFonts w:ascii="Times New Roman" w:hAnsi="Times New Roman" w:cs="Times New Roman"/>
          <w:sz w:val="24"/>
          <w:szCs w:val="24"/>
          <w:lang w:val="en-US"/>
        </w:rPr>
        <w:t xml:space="preserve"> for some sub-units of its operations and not for others.  This</w:t>
      </w:r>
      <w:r w:rsidRPr="004D5C91">
        <w:rPr>
          <w:rFonts w:ascii="Times New Roman" w:hAnsi="Times New Roman" w:cs="Times New Roman"/>
          <w:sz w:val="24"/>
          <w:szCs w:val="24"/>
          <w:lang w:val="en-US"/>
        </w:rPr>
        <w:t xml:space="preserve"> includ</w:t>
      </w:r>
      <w:r>
        <w:rPr>
          <w:rFonts w:ascii="Times New Roman" w:hAnsi="Times New Roman" w:cs="Times New Roman"/>
          <w:sz w:val="24"/>
          <w:szCs w:val="24"/>
          <w:lang w:val="en-US"/>
        </w:rPr>
        <w:t>es specific protections</w:t>
      </w:r>
      <w:r w:rsidRPr="004D5C9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Aboriginal and treaty rights and legal traditions </w:t>
      </w:r>
      <w:r w:rsidRPr="004D5C91">
        <w:rPr>
          <w:rFonts w:ascii="Times New Roman" w:hAnsi="Times New Roman" w:cs="Times New Roman"/>
          <w:sz w:val="24"/>
          <w:szCs w:val="24"/>
          <w:lang w:val="en-US"/>
        </w:rPr>
        <w:t xml:space="preserve">in the </w:t>
      </w:r>
      <w:r w:rsidRPr="004D5C91">
        <w:rPr>
          <w:rFonts w:ascii="Times New Roman" w:hAnsi="Times New Roman" w:cs="Times New Roman"/>
          <w:i/>
          <w:sz w:val="24"/>
          <w:szCs w:val="24"/>
          <w:lang w:val="en-US"/>
        </w:rPr>
        <w:t>Canadian Human Rights Act</w:t>
      </w:r>
      <w:r w:rsidRPr="004D5C91">
        <w:rPr>
          <w:rFonts w:ascii="Times New Roman" w:hAnsi="Times New Roman" w:cs="Times New Roman"/>
          <w:sz w:val="24"/>
          <w:szCs w:val="24"/>
          <w:lang w:val="en-US"/>
        </w:rPr>
        <w:t xml:space="preserve"> </w:t>
      </w:r>
      <w:r>
        <w:rPr>
          <w:rFonts w:ascii="Times New Roman" w:hAnsi="Times New Roman" w:cs="Times New Roman"/>
          <w:sz w:val="24"/>
          <w:szCs w:val="24"/>
          <w:lang w:val="en-US"/>
        </w:rPr>
        <w:t>that came into effect in 2008</w:t>
      </w:r>
      <w:r w:rsidRPr="004D5C91">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72"/>
      </w:r>
      <w:r w:rsidRPr="004D5C91">
        <w:rPr>
          <w:rFonts w:ascii="Times New Roman" w:hAnsi="Times New Roman" w:cs="Times New Roman"/>
          <w:sz w:val="24"/>
          <w:szCs w:val="24"/>
          <w:lang w:val="en-US"/>
        </w:rPr>
        <w:t xml:space="preserve">  </w:t>
      </w:r>
    </w:p>
    <w:p w14:paraId="52B467B8" w14:textId="77777777" w:rsidR="00B47858" w:rsidRPr="00997B9B" w:rsidRDefault="00B47858" w:rsidP="00684B3E">
      <w:pPr>
        <w:pStyle w:val="ListParagraph"/>
        <w:ind w:left="0"/>
        <w:jc w:val="both"/>
        <w:rPr>
          <w:rFonts w:ascii="Times New Roman" w:hAnsi="Times New Roman" w:cs="Times New Roman"/>
          <w:i/>
          <w:sz w:val="24"/>
          <w:szCs w:val="24"/>
        </w:rPr>
      </w:pPr>
    </w:p>
    <w:p w14:paraId="30C88975" w14:textId="18986714" w:rsidR="00B47858" w:rsidRPr="00E47988" w:rsidRDefault="00B47858" w:rsidP="00684B3E">
      <w:pPr>
        <w:pStyle w:val="ListParagraph"/>
        <w:numPr>
          <w:ilvl w:val="0"/>
          <w:numId w:val="1"/>
        </w:numPr>
        <w:ind w:left="0" w:firstLine="0"/>
        <w:jc w:val="both"/>
        <w:rPr>
          <w:rFonts w:ascii="Times New Roman" w:hAnsi="Times New Roman" w:cs="Times New Roman"/>
          <w:i/>
          <w:sz w:val="24"/>
          <w:szCs w:val="24"/>
        </w:rPr>
      </w:pPr>
      <w:r w:rsidRPr="00E47988">
        <w:rPr>
          <w:rFonts w:ascii="Times New Roman" w:hAnsi="Times New Roman" w:cs="Times New Roman"/>
          <w:sz w:val="24"/>
          <w:szCs w:val="24"/>
          <w:lang w:val="en-US"/>
        </w:rPr>
        <w:t xml:space="preserve">In our view, </w:t>
      </w:r>
      <w:r w:rsidRPr="00E47988">
        <w:rPr>
          <w:rFonts w:ascii="Times New Roman" w:hAnsi="Times New Roman" w:cs="Times New Roman"/>
          <w:sz w:val="24"/>
          <w:szCs w:val="24"/>
        </w:rPr>
        <w:t xml:space="preserve">Indigenous governments </w:t>
      </w:r>
      <w:r>
        <w:rPr>
          <w:rFonts w:ascii="Times New Roman" w:hAnsi="Times New Roman" w:cs="Times New Roman"/>
          <w:sz w:val="24"/>
          <w:szCs w:val="24"/>
        </w:rPr>
        <w:t>that</w:t>
      </w:r>
      <w:r w:rsidRPr="00E47988">
        <w:rPr>
          <w:rFonts w:ascii="Times New Roman" w:hAnsi="Times New Roman" w:cs="Times New Roman"/>
          <w:sz w:val="24"/>
          <w:szCs w:val="24"/>
        </w:rPr>
        <w:t xml:space="preserve"> are re-building their governance capacity and overcoming the impacts of colonialism do not need additional barriers impeding the management of their affairs.</w:t>
      </w:r>
    </w:p>
    <w:p w14:paraId="1CEB3F8B" w14:textId="06643C03" w:rsidR="00B47858" w:rsidRPr="00997B9B" w:rsidRDefault="00B47858" w:rsidP="00684B3E">
      <w:pPr>
        <w:pStyle w:val="ListParagraph"/>
        <w:ind w:left="0"/>
        <w:jc w:val="both"/>
        <w:rPr>
          <w:rFonts w:ascii="Times New Roman" w:hAnsi="Times New Roman" w:cs="Times New Roman"/>
          <w:i/>
          <w:sz w:val="24"/>
          <w:szCs w:val="24"/>
        </w:rPr>
      </w:pPr>
    </w:p>
    <w:p w14:paraId="7E44A791" w14:textId="17967850" w:rsidR="00B47858" w:rsidRPr="0091459D" w:rsidRDefault="00F84132" w:rsidP="00F84132">
      <w:pPr>
        <w:pStyle w:val="Heading2"/>
        <w:numPr>
          <w:ilvl w:val="0"/>
          <w:numId w:val="0"/>
        </w:numPr>
        <w:spacing w:after="200"/>
        <w:contextualSpacing w:val="0"/>
        <w:rPr>
          <w:b w:val="0"/>
          <w:bCs/>
        </w:rPr>
      </w:pPr>
      <w:r w:rsidRPr="0091459D">
        <w:rPr>
          <w:b w:val="0"/>
          <w:bCs/>
        </w:rPr>
        <w:t>C.</w:t>
      </w:r>
      <w:r w:rsidRPr="0091459D">
        <w:rPr>
          <w:b w:val="0"/>
          <w:bCs/>
        </w:rPr>
        <w:tab/>
      </w:r>
      <w:r w:rsidR="00B47858" w:rsidRPr="0091459D">
        <w:rPr>
          <w:b w:val="0"/>
          <w:bCs/>
        </w:rPr>
        <w:t xml:space="preserve">An </w:t>
      </w:r>
      <w:r w:rsidR="005C6452">
        <w:rPr>
          <w:b w:val="0"/>
          <w:bCs/>
        </w:rPr>
        <w:t>A</w:t>
      </w:r>
      <w:r w:rsidR="00B47858" w:rsidRPr="0091459D">
        <w:rPr>
          <w:b w:val="0"/>
          <w:bCs/>
        </w:rPr>
        <w:t xml:space="preserve">lternative </w:t>
      </w:r>
      <w:r w:rsidR="005C6452">
        <w:rPr>
          <w:b w:val="0"/>
          <w:bCs/>
        </w:rPr>
        <w:t>A</w:t>
      </w:r>
      <w:r w:rsidR="00B47858" w:rsidRPr="0091459D">
        <w:rPr>
          <w:b w:val="0"/>
          <w:bCs/>
        </w:rPr>
        <w:t xml:space="preserve">pproach </w:t>
      </w:r>
    </w:p>
    <w:p w14:paraId="007E4C1E" w14:textId="1C637E39"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2C704E">
        <w:rPr>
          <w:rFonts w:ascii="Times New Roman" w:hAnsi="Times New Roman" w:cs="Times New Roman"/>
          <w:sz w:val="24"/>
          <w:szCs w:val="24"/>
        </w:rPr>
        <w:t xml:space="preserve">We start by pointing out the obvious: interpretations of the Constitution can evolve.  It is a long-held principle of constitutional interpretation that the </w:t>
      </w:r>
      <w:r>
        <w:rPr>
          <w:rFonts w:ascii="Times New Roman" w:hAnsi="Times New Roman" w:cs="Times New Roman"/>
          <w:sz w:val="24"/>
          <w:szCs w:val="24"/>
        </w:rPr>
        <w:t xml:space="preserve">written </w:t>
      </w:r>
      <w:r w:rsidRPr="002C704E">
        <w:rPr>
          <w:rFonts w:ascii="Times New Roman" w:hAnsi="Times New Roman" w:cs="Times New Roman"/>
          <w:sz w:val="24"/>
          <w:szCs w:val="24"/>
        </w:rPr>
        <w:t xml:space="preserve">Constitution (including </w:t>
      </w:r>
      <w:r w:rsidRPr="004D6392">
        <w:rPr>
          <w:rFonts w:ascii="Times New Roman" w:hAnsi="Times New Roman" w:cs="Times New Roman"/>
          <w:i/>
          <w:iCs/>
          <w:sz w:val="24"/>
          <w:szCs w:val="24"/>
        </w:rPr>
        <w:t xml:space="preserve">both </w:t>
      </w:r>
      <w:r w:rsidRPr="002C704E">
        <w:rPr>
          <w:rFonts w:ascii="Times New Roman" w:hAnsi="Times New Roman" w:cs="Times New Roman"/>
          <w:sz w:val="24"/>
          <w:szCs w:val="24"/>
        </w:rPr>
        <w:t xml:space="preserve">the </w:t>
      </w:r>
      <w:r w:rsidRPr="002C704E">
        <w:rPr>
          <w:rFonts w:ascii="Times New Roman" w:hAnsi="Times New Roman" w:cs="Times New Roman"/>
          <w:i/>
          <w:sz w:val="24"/>
          <w:szCs w:val="24"/>
        </w:rPr>
        <w:lastRenderedPageBreak/>
        <w:t>Constitution Act, 1867</w:t>
      </w:r>
      <w:r w:rsidRPr="002C704E">
        <w:rPr>
          <w:rFonts w:ascii="Times New Roman" w:hAnsi="Times New Roman" w:cs="Times New Roman"/>
          <w:sz w:val="24"/>
          <w:szCs w:val="24"/>
        </w:rPr>
        <w:t xml:space="preserve"> and the </w:t>
      </w:r>
      <w:r w:rsidRPr="002C704E">
        <w:rPr>
          <w:rFonts w:ascii="Times New Roman" w:hAnsi="Times New Roman" w:cs="Times New Roman"/>
          <w:i/>
          <w:sz w:val="24"/>
          <w:szCs w:val="24"/>
        </w:rPr>
        <w:t>Constitution Act, 1982</w:t>
      </w:r>
      <w:r w:rsidRPr="002C704E">
        <w:rPr>
          <w:rFonts w:ascii="Times New Roman" w:hAnsi="Times New Roman" w:cs="Times New Roman"/>
          <w:sz w:val="24"/>
          <w:szCs w:val="24"/>
        </w:rPr>
        <w:t xml:space="preserve">) must be given a broad interpretation that is attuned to changing circumstances.  This has been variously called “progressive interpretation” or </w:t>
      </w:r>
      <w:r w:rsidR="009D27DE">
        <w:rPr>
          <w:rFonts w:ascii="Times New Roman" w:hAnsi="Times New Roman" w:cs="Times New Roman"/>
          <w:sz w:val="24"/>
          <w:szCs w:val="24"/>
        </w:rPr>
        <w:t xml:space="preserve">a </w:t>
      </w:r>
      <w:r>
        <w:rPr>
          <w:rFonts w:ascii="Times New Roman" w:hAnsi="Times New Roman" w:cs="Times New Roman"/>
          <w:sz w:val="24"/>
          <w:szCs w:val="24"/>
        </w:rPr>
        <w:t>“living tree” interpretation.</w:t>
      </w:r>
      <w:r>
        <w:rPr>
          <w:rStyle w:val="FootnoteReference"/>
          <w:rFonts w:ascii="Times New Roman" w:hAnsi="Times New Roman" w:cs="Times New Roman"/>
          <w:sz w:val="24"/>
          <w:szCs w:val="24"/>
        </w:rPr>
        <w:footnoteReference w:id="73"/>
      </w:r>
      <w:r w:rsidRPr="002C704E">
        <w:rPr>
          <w:rFonts w:ascii="Times New Roman" w:hAnsi="Times New Roman" w:cs="Times New Roman"/>
          <w:sz w:val="24"/>
          <w:szCs w:val="24"/>
        </w:rPr>
        <w:t xml:space="preserve"> </w:t>
      </w:r>
    </w:p>
    <w:p w14:paraId="19D7AA3D" w14:textId="77777777" w:rsidR="00B47858" w:rsidRDefault="00B47858" w:rsidP="00684B3E">
      <w:pPr>
        <w:pStyle w:val="ListParagraph"/>
        <w:ind w:left="0"/>
        <w:jc w:val="both"/>
        <w:rPr>
          <w:rFonts w:ascii="Times New Roman" w:hAnsi="Times New Roman" w:cs="Times New Roman"/>
          <w:sz w:val="24"/>
          <w:szCs w:val="24"/>
        </w:rPr>
      </w:pPr>
    </w:p>
    <w:p w14:paraId="1567A5A1" w14:textId="5AC859CC"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E369FF">
        <w:rPr>
          <w:rFonts w:ascii="Times New Roman" w:hAnsi="Times New Roman" w:cs="Times New Roman"/>
          <w:sz w:val="24"/>
          <w:szCs w:val="24"/>
        </w:rPr>
        <w:t xml:space="preserve">Arguments for a shift in </w:t>
      </w:r>
      <w:r>
        <w:rPr>
          <w:rFonts w:ascii="Times New Roman" w:hAnsi="Times New Roman" w:cs="Times New Roman"/>
          <w:sz w:val="24"/>
          <w:szCs w:val="24"/>
        </w:rPr>
        <w:t xml:space="preserve">the </w:t>
      </w:r>
      <w:r w:rsidRPr="00E369FF">
        <w:rPr>
          <w:rFonts w:ascii="Times New Roman" w:hAnsi="Times New Roman" w:cs="Times New Roman"/>
          <w:sz w:val="24"/>
          <w:szCs w:val="24"/>
        </w:rPr>
        <w:t xml:space="preserve">interpretation of </w:t>
      </w:r>
      <w:r w:rsidR="002B4063">
        <w:rPr>
          <w:rFonts w:ascii="Times New Roman" w:hAnsi="Times New Roman" w:cs="Times New Roman"/>
          <w:sz w:val="24"/>
          <w:szCs w:val="24"/>
        </w:rPr>
        <w:t>s 91</w:t>
      </w:r>
      <w:r w:rsidRPr="00E369FF">
        <w:rPr>
          <w:rFonts w:ascii="Times New Roman" w:hAnsi="Times New Roman" w:cs="Times New Roman"/>
          <w:sz w:val="24"/>
          <w:szCs w:val="24"/>
        </w:rPr>
        <w:t xml:space="preserve">(24) are not new.  In 1991, Professor </w:t>
      </w:r>
      <w:r w:rsidR="00C87CD9">
        <w:rPr>
          <w:rFonts w:ascii="Times New Roman" w:hAnsi="Times New Roman" w:cs="Times New Roman"/>
          <w:sz w:val="24"/>
          <w:szCs w:val="24"/>
        </w:rPr>
        <w:t xml:space="preserve">Bruce </w:t>
      </w:r>
      <w:r w:rsidRPr="00E369FF">
        <w:rPr>
          <w:rFonts w:ascii="Times New Roman" w:hAnsi="Times New Roman" w:cs="Times New Roman"/>
          <w:sz w:val="24"/>
          <w:szCs w:val="24"/>
        </w:rPr>
        <w:t>Ryder wrote that “there is significant unexplored potential within the existing framework of Canadian constitutional law for promoting the autonomy of … the First Nations</w:t>
      </w:r>
      <w:r>
        <w:rPr>
          <w:rFonts w:ascii="Times New Roman" w:hAnsi="Times New Roman" w:cs="Times New Roman"/>
          <w:sz w:val="24"/>
          <w:szCs w:val="24"/>
        </w:rPr>
        <w:t>.</w:t>
      </w:r>
      <w:r w:rsidRPr="00E369FF">
        <w:rPr>
          <w:rFonts w:ascii="Times New Roman" w:hAnsi="Times New Roman" w:cs="Times New Roman"/>
          <w:sz w:val="24"/>
          <w:szCs w:val="24"/>
        </w:rPr>
        <w:t>”</w:t>
      </w:r>
      <w:r>
        <w:rPr>
          <w:rStyle w:val="FootnoteReference"/>
          <w:rFonts w:ascii="Times New Roman" w:hAnsi="Times New Roman" w:cs="Times New Roman"/>
          <w:sz w:val="24"/>
          <w:szCs w:val="24"/>
        </w:rPr>
        <w:footnoteReference w:id="74"/>
      </w:r>
      <w:r w:rsidRPr="00E369FF">
        <w:rPr>
          <w:rFonts w:ascii="Times New Roman" w:hAnsi="Times New Roman" w:cs="Times New Roman"/>
          <w:sz w:val="24"/>
          <w:szCs w:val="24"/>
        </w:rPr>
        <w:t xml:space="preserve">  </w:t>
      </w:r>
      <w:r>
        <w:rPr>
          <w:rFonts w:ascii="Times New Roman" w:hAnsi="Times New Roman" w:cs="Times New Roman"/>
          <w:sz w:val="24"/>
          <w:szCs w:val="24"/>
        </w:rPr>
        <w:t xml:space="preserve">As discussed earlier, a number of scholars have called upon the courts to adopt an interpretation of </w:t>
      </w:r>
      <w:r w:rsidR="002B4063">
        <w:rPr>
          <w:rFonts w:ascii="Times New Roman" w:hAnsi="Times New Roman" w:cs="Times New Roman"/>
          <w:sz w:val="24"/>
          <w:szCs w:val="24"/>
        </w:rPr>
        <w:t>s 91</w:t>
      </w:r>
      <w:r>
        <w:rPr>
          <w:rFonts w:ascii="Times New Roman" w:hAnsi="Times New Roman" w:cs="Times New Roman"/>
          <w:sz w:val="24"/>
          <w:szCs w:val="24"/>
        </w:rPr>
        <w:t xml:space="preserve">(24) consistent with treaty federalism </w:t>
      </w:r>
      <w:r w:rsidR="003B1ECE">
        <w:rPr>
          <w:rFonts w:ascii="Times New Roman" w:hAnsi="Times New Roman" w:cs="Times New Roman"/>
          <w:sz w:val="24"/>
          <w:szCs w:val="24"/>
        </w:rPr>
        <w:t xml:space="preserve">that is </w:t>
      </w:r>
      <w:r>
        <w:rPr>
          <w:rFonts w:ascii="Times New Roman" w:hAnsi="Times New Roman" w:cs="Times New Roman"/>
          <w:sz w:val="24"/>
          <w:szCs w:val="24"/>
        </w:rPr>
        <w:t xml:space="preserve">based on the historic, nation-to-nation relationship that existed on these lands long before Confederation.  We agree that this historic relationship militates in favour of a new approach.    </w:t>
      </w:r>
    </w:p>
    <w:p w14:paraId="4449C63D" w14:textId="77777777" w:rsidR="00B47858" w:rsidRPr="00294DBA" w:rsidRDefault="00B47858" w:rsidP="00684B3E">
      <w:pPr>
        <w:pStyle w:val="ListParagraph"/>
        <w:rPr>
          <w:rFonts w:ascii="Times New Roman" w:hAnsi="Times New Roman" w:cs="Times New Roman"/>
          <w:sz w:val="24"/>
          <w:szCs w:val="24"/>
        </w:rPr>
      </w:pPr>
    </w:p>
    <w:p w14:paraId="33D2B7BC" w14:textId="1888656B" w:rsidR="00B47858" w:rsidRPr="00F25F82" w:rsidRDefault="00B47858" w:rsidP="00684B3E">
      <w:pPr>
        <w:pStyle w:val="ListParagraph"/>
        <w:numPr>
          <w:ilvl w:val="0"/>
          <w:numId w:val="1"/>
        </w:numPr>
        <w:ind w:left="0" w:firstLine="0"/>
        <w:jc w:val="both"/>
      </w:pPr>
      <w:r w:rsidRPr="00F25F82">
        <w:rPr>
          <w:rFonts w:ascii="Times New Roman" w:hAnsi="Times New Roman" w:cs="Times New Roman"/>
          <w:sz w:val="24"/>
          <w:szCs w:val="24"/>
        </w:rPr>
        <w:t xml:space="preserve">In addition to treaty federalism, however, a number of other legal principles militate in favour of a new interpretation of </w:t>
      </w:r>
      <w:r w:rsidR="002B4063">
        <w:rPr>
          <w:rFonts w:ascii="Times New Roman" w:hAnsi="Times New Roman" w:cs="Times New Roman"/>
          <w:sz w:val="24"/>
          <w:szCs w:val="24"/>
        </w:rPr>
        <w:t>s 91</w:t>
      </w:r>
      <w:r w:rsidRPr="00F25F82">
        <w:rPr>
          <w:rFonts w:ascii="Times New Roman" w:hAnsi="Times New Roman" w:cs="Times New Roman"/>
          <w:sz w:val="24"/>
          <w:szCs w:val="24"/>
        </w:rPr>
        <w:t>(24).  These principles all point in one direction and their cumulative force lead</w:t>
      </w:r>
      <w:r>
        <w:rPr>
          <w:rFonts w:ascii="Times New Roman" w:hAnsi="Times New Roman" w:cs="Times New Roman"/>
          <w:sz w:val="24"/>
          <w:szCs w:val="24"/>
        </w:rPr>
        <w:t>s</w:t>
      </w:r>
      <w:r w:rsidRPr="00F25F82">
        <w:rPr>
          <w:rFonts w:ascii="Times New Roman" w:hAnsi="Times New Roman" w:cs="Times New Roman"/>
          <w:sz w:val="24"/>
          <w:szCs w:val="24"/>
        </w:rPr>
        <w:t xml:space="preserve"> to the inescapable conclusion that this change is both necessary and overdue.  We</w:t>
      </w:r>
      <w:r>
        <w:rPr>
          <w:rFonts w:ascii="Times New Roman" w:hAnsi="Times New Roman" w:cs="Times New Roman"/>
          <w:sz w:val="24"/>
          <w:szCs w:val="24"/>
        </w:rPr>
        <w:t xml:space="preserve"> reject any</w:t>
      </w:r>
      <w:r w:rsidRPr="00F25F82">
        <w:rPr>
          <w:rFonts w:ascii="Times New Roman" w:hAnsi="Times New Roman" w:cs="Times New Roman"/>
          <w:sz w:val="24"/>
          <w:szCs w:val="24"/>
        </w:rPr>
        <w:t xml:space="preserve"> suggestion that such a change requires a constitutional amendment and is beyond the purview of the courts; quite the contrary, the exercise here is one of constitutional interpretation—the bread and butter of the courts. </w:t>
      </w:r>
    </w:p>
    <w:p w14:paraId="639361B4" w14:textId="5E41952E" w:rsidR="00B47858" w:rsidRPr="00AB0308" w:rsidRDefault="00B47858" w:rsidP="00684B3E">
      <w:pPr>
        <w:pStyle w:val="ListParagraph"/>
        <w:ind w:left="0"/>
        <w:jc w:val="both"/>
      </w:pPr>
    </w:p>
    <w:p w14:paraId="143BA745" w14:textId="016D047A" w:rsidR="00B47858" w:rsidRPr="00EF23ED" w:rsidRDefault="00B47858" w:rsidP="00EF23ED">
      <w:pPr>
        <w:pStyle w:val="Heading3"/>
        <w:numPr>
          <w:ilvl w:val="0"/>
          <w:numId w:val="15"/>
        </w:numPr>
        <w:spacing w:after="200"/>
        <w:ind w:left="1134" w:hanging="425"/>
        <w:contextualSpacing w:val="0"/>
        <w:rPr>
          <w:b w:val="0"/>
          <w:bCs/>
          <w:i w:val="0"/>
          <w:iCs/>
        </w:rPr>
      </w:pPr>
      <w:r w:rsidRPr="00EF23ED">
        <w:rPr>
          <w:b w:val="0"/>
          <w:bCs/>
          <w:i w:val="0"/>
          <w:iCs/>
        </w:rPr>
        <w:t xml:space="preserve">Conformity with the </w:t>
      </w:r>
      <w:r w:rsidRPr="00EF23ED">
        <w:rPr>
          <w:b w:val="0"/>
          <w:bCs/>
        </w:rPr>
        <w:t>Charter</w:t>
      </w:r>
    </w:p>
    <w:p w14:paraId="671C8585" w14:textId="325652D7"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B14B86">
        <w:rPr>
          <w:rFonts w:ascii="Times New Roman" w:hAnsi="Times New Roman" w:cs="Times New Roman"/>
          <w:sz w:val="24"/>
          <w:szCs w:val="24"/>
        </w:rPr>
        <w:t xml:space="preserve">It is clear that </w:t>
      </w:r>
      <w:r>
        <w:rPr>
          <w:rFonts w:ascii="Times New Roman" w:hAnsi="Times New Roman" w:cs="Times New Roman"/>
          <w:sz w:val="24"/>
          <w:szCs w:val="24"/>
        </w:rPr>
        <w:t xml:space="preserve">the </w:t>
      </w:r>
      <w:r w:rsidRPr="00B14B86">
        <w:rPr>
          <w:rFonts w:ascii="Times New Roman" w:hAnsi="Times New Roman" w:cs="Times New Roman"/>
          <w:sz w:val="24"/>
          <w:szCs w:val="24"/>
        </w:rPr>
        <w:t xml:space="preserve">interpretation of one part of the Constitution should be mindful of the rest of its text.  In other words, courts must strive to harmonize their interpretation of a provision, such as </w:t>
      </w:r>
      <w:r w:rsidR="002B4063">
        <w:rPr>
          <w:rFonts w:ascii="Times New Roman" w:hAnsi="Times New Roman" w:cs="Times New Roman"/>
          <w:sz w:val="24"/>
          <w:szCs w:val="24"/>
        </w:rPr>
        <w:t>s 91</w:t>
      </w:r>
      <w:r w:rsidRPr="00B14B86">
        <w:rPr>
          <w:rFonts w:ascii="Times New Roman" w:hAnsi="Times New Roman" w:cs="Times New Roman"/>
          <w:sz w:val="24"/>
          <w:szCs w:val="24"/>
        </w:rPr>
        <w:t xml:space="preserve">(24), to be consistent with the rest of the text, including provisions within the </w:t>
      </w:r>
      <w:r w:rsidRPr="00B14B86">
        <w:rPr>
          <w:rFonts w:ascii="Times New Roman" w:hAnsi="Times New Roman" w:cs="Times New Roman"/>
          <w:i/>
          <w:sz w:val="24"/>
          <w:szCs w:val="24"/>
        </w:rPr>
        <w:t>Charter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75"/>
      </w:r>
      <w:r w:rsidRPr="00B14B86">
        <w:rPr>
          <w:rFonts w:ascii="Times New Roman" w:hAnsi="Times New Roman" w:cs="Times New Roman"/>
          <w:sz w:val="24"/>
          <w:szCs w:val="24"/>
        </w:rPr>
        <w:t xml:space="preserve"> </w:t>
      </w:r>
    </w:p>
    <w:p w14:paraId="034CB299" w14:textId="77777777" w:rsidR="00B47858" w:rsidRDefault="00B47858" w:rsidP="00684B3E">
      <w:pPr>
        <w:pStyle w:val="ListParagraph"/>
        <w:ind w:left="0"/>
        <w:jc w:val="both"/>
        <w:rPr>
          <w:rFonts w:ascii="Times New Roman" w:hAnsi="Times New Roman" w:cs="Times New Roman"/>
          <w:sz w:val="24"/>
          <w:szCs w:val="24"/>
        </w:rPr>
      </w:pPr>
    </w:p>
    <w:p w14:paraId="6FD3788D" w14:textId="5F800934"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1D2A3B">
        <w:rPr>
          <w:rFonts w:ascii="Times New Roman" w:hAnsi="Times New Roman" w:cs="Times New Roman"/>
          <w:sz w:val="24"/>
          <w:szCs w:val="24"/>
        </w:rPr>
        <w:t>We devoted significant attention in part 2</w:t>
      </w:r>
      <w:r w:rsidR="003731F1">
        <w:rPr>
          <w:rFonts w:ascii="Times New Roman" w:hAnsi="Times New Roman" w:cs="Times New Roman"/>
          <w:sz w:val="24"/>
          <w:szCs w:val="24"/>
        </w:rPr>
        <w:t>B</w:t>
      </w:r>
      <w:r w:rsidRPr="001D2A3B">
        <w:rPr>
          <w:rFonts w:ascii="Times New Roman" w:hAnsi="Times New Roman" w:cs="Times New Roman"/>
          <w:sz w:val="24"/>
          <w:szCs w:val="24"/>
        </w:rPr>
        <w:t xml:space="preserve"> of our analysis to describing the harms that have been inflicted upon Indigenous peoples by the courts’ current interpretation of </w:t>
      </w:r>
      <w:r w:rsidR="002B4063">
        <w:rPr>
          <w:rFonts w:ascii="Times New Roman" w:hAnsi="Times New Roman" w:cs="Times New Roman"/>
          <w:sz w:val="24"/>
          <w:szCs w:val="24"/>
        </w:rPr>
        <w:t>s 91</w:t>
      </w:r>
      <w:r w:rsidRPr="001D2A3B">
        <w:rPr>
          <w:rFonts w:ascii="Times New Roman" w:hAnsi="Times New Roman" w:cs="Times New Roman"/>
          <w:sz w:val="24"/>
          <w:szCs w:val="24"/>
        </w:rPr>
        <w:t xml:space="preserve">(24).  We saw that the National Inquiry into Missing and Murdered Indigenous Women and Girls characterized interjurisdictional neglect of Indigenous peoples (which the current approach to </w:t>
      </w:r>
      <w:r w:rsidR="002B4063">
        <w:rPr>
          <w:rFonts w:ascii="Times New Roman" w:hAnsi="Times New Roman" w:cs="Times New Roman"/>
          <w:sz w:val="24"/>
          <w:szCs w:val="24"/>
        </w:rPr>
        <w:t>s 91</w:t>
      </w:r>
      <w:r w:rsidRPr="001D2A3B">
        <w:rPr>
          <w:rFonts w:ascii="Times New Roman" w:hAnsi="Times New Roman" w:cs="Times New Roman"/>
          <w:sz w:val="24"/>
          <w:szCs w:val="24"/>
        </w:rPr>
        <w:t xml:space="preserve">(24) facilitates) as a violation of s 7 of the </w:t>
      </w:r>
      <w:r w:rsidRPr="001D2A3B">
        <w:rPr>
          <w:rFonts w:ascii="Times New Roman" w:hAnsi="Times New Roman" w:cs="Times New Roman"/>
          <w:i/>
          <w:sz w:val="24"/>
          <w:szCs w:val="24"/>
        </w:rPr>
        <w:t>Charter</w:t>
      </w:r>
      <w:r w:rsidRPr="001D2A3B">
        <w:rPr>
          <w:rFonts w:ascii="Times New Roman" w:hAnsi="Times New Roman" w:cs="Times New Roman"/>
          <w:sz w:val="24"/>
          <w:szCs w:val="24"/>
        </w:rPr>
        <w:t xml:space="preserve">.  The CHRT in </w:t>
      </w:r>
      <w:r>
        <w:rPr>
          <w:rFonts w:ascii="Times New Roman" w:hAnsi="Times New Roman" w:cs="Times New Roman"/>
          <w:i/>
          <w:sz w:val="24"/>
          <w:szCs w:val="24"/>
        </w:rPr>
        <w:t>Caring Society</w:t>
      </w:r>
      <w:r w:rsidRPr="001D2A3B">
        <w:rPr>
          <w:rFonts w:ascii="Times New Roman" w:hAnsi="Times New Roman" w:cs="Times New Roman"/>
          <w:sz w:val="24"/>
          <w:szCs w:val="24"/>
        </w:rPr>
        <w:t xml:space="preserve"> </w:t>
      </w:r>
      <w:r>
        <w:rPr>
          <w:rFonts w:ascii="Times New Roman" w:hAnsi="Times New Roman" w:cs="Times New Roman"/>
          <w:sz w:val="24"/>
          <w:szCs w:val="24"/>
        </w:rPr>
        <w:t>suggested that</w:t>
      </w:r>
      <w:r w:rsidRPr="001D2A3B">
        <w:rPr>
          <w:rFonts w:ascii="Times New Roman" w:hAnsi="Times New Roman" w:cs="Times New Roman"/>
          <w:sz w:val="24"/>
          <w:szCs w:val="24"/>
        </w:rPr>
        <w:t xml:space="preserve"> the imposition of provincial standards on Indigenous groups </w:t>
      </w:r>
      <w:r>
        <w:rPr>
          <w:rFonts w:ascii="Times New Roman" w:hAnsi="Times New Roman" w:cs="Times New Roman"/>
          <w:sz w:val="24"/>
          <w:szCs w:val="24"/>
        </w:rPr>
        <w:t>violates</w:t>
      </w:r>
      <w:r w:rsidRPr="001D2A3B">
        <w:rPr>
          <w:rFonts w:ascii="Times New Roman" w:hAnsi="Times New Roman" w:cs="Times New Roman"/>
          <w:sz w:val="24"/>
          <w:szCs w:val="24"/>
        </w:rPr>
        <w:t xml:space="preserve"> substantive equality, which is protected under both s 15 of the </w:t>
      </w:r>
      <w:r w:rsidRPr="001D2A3B">
        <w:rPr>
          <w:rFonts w:ascii="Times New Roman" w:hAnsi="Times New Roman" w:cs="Times New Roman"/>
          <w:i/>
          <w:sz w:val="24"/>
          <w:szCs w:val="24"/>
        </w:rPr>
        <w:t>Charter</w:t>
      </w:r>
      <w:r w:rsidRPr="001D2A3B">
        <w:rPr>
          <w:rFonts w:ascii="Times New Roman" w:hAnsi="Times New Roman" w:cs="Times New Roman"/>
          <w:sz w:val="24"/>
          <w:szCs w:val="24"/>
        </w:rPr>
        <w:t xml:space="preserve"> and quasi-constitutional human rights legislation.  Consistent with the interpretive principles discussed above, we ough</w:t>
      </w:r>
      <w:r>
        <w:rPr>
          <w:rFonts w:ascii="Times New Roman" w:hAnsi="Times New Roman" w:cs="Times New Roman"/>
          <w:sz w:val="24"/>
          <w:szCs w:val="24"/>
        </w:rPr>
        <w:t xml:space="preserve">t to discard an interpretation of </w:t>
      </w:r>
      <w:r w:rsidR="002B4063">
        <w:rPr>
          <w:rFonts w:ascii="Times New Roman" w:hAnsi="Times New Roman" w:cs="Times New Roman"/>
          <w:sz w:val="24"/>
          <w:szCs w:val="24"/>
        </w:rPr>
        <w:t>s 91</w:t>
      </w:r>
      <w:r>
        <w:rPr>
          <w:rFonts w:ascii="Times New Roman" w:hAnsi="Times New Roman" w:cs="Times New Roman"/>
          <w:sz w:val="24"/>
          <w:szCs w:val="24"/>
        </w:rPr>
        <w:t>(24) that</w:t>
      </w:r>
      <w:r w:rsidRPr="001D2A3B">
        <w:rPr>
          <w:rFonts w:ascii="Times New Roman" w:hAnsi="Times New Roman" w:cs="Times New Roman"/>
          <w:sz w:val="24"/>
          <w:szCs w:val="24"/>
        </w:rPr>
        <w:t xml:space="preserve"> implicate</w:t>
      </w:r>
      <w:r>
        <w:rPr>
          <w:rFonts w:ascii="Times New Roman" w:hAnsi="Times New Roman" w:cs="Times New Roman"/>
          <w:sz w:val="24"/>
          <w:szCs w:val="24"/>
        </w:rPr>
        <w:t>s</w:t>
      </w:r>
      <w:r w:rsidRPr="001D2A3B">
        <w:rPr>
          <w:rFonts w:ascii="Times New Roman" w:hAnsi="Times New Roman" w:cs="Times New Roman"/>
          <w:sz w:val="24"/>
          <w:szCs w:val="24"/>
        </w:rPr>
        <w:t xml:space="preserve"> serious </w:t>
      </w:r>
      <w:r w:rsidRPr="001D2A3B">
        <w:rPr>
          <w:rFonts w:ascii="Times New Roman" w:hAnsi="Times New Roman" w:cs="Times New Roman"/>
          <w:i/>
          <w:sz w:val="24"/>
          <w:szCs w:val="24"/>
        </w:rPr>
        <w:t>Charter</w:t>
      </w:r>
      <w:r w:rsidRPr="001D2A3B">
        <w:rPr>
          <w:rFonts w:ascii="Times New Roman" w:hAnsi="Times New Roman" w:cs="Times New Roman"/>
          <w:sz w:val="24"/>
          <w:szCs w:val="24"/>
        </w:rPr>
        <w:t xml:space="preserve"> right</w:t>
      </w:r>
      <w:r>
        <w:rPr>
          <w:rFonts w:ascii="Times New Roman" w:hAnsi="Times New Roman" w:cs="Times New Roman"/>
          <w:sz w:val="24"/>
          <w:szCs w:val="24"/>
        </w:rPr>
        <w:t>s</w:t>
      </w:r>
      <w:r w:rsidRPr="001D2A3B">
        <w:rPr>
          <w:rFonts w:ascii="Times New Roman" w:hAnsi="Times New Roman" w:cs="Times New Roman"/>
          <w:sz w:val="24"/>
          <w:szCs w:val="24"/>
        </w:rPr>
        <w:t xml:space="preserve"> violations.</w:t>
      </w:r>
    </w:p>
    <w:p w14:paraId="193E867F" w14:textId="71B1DC08" w:rsidR="00B47858" w:rsidRDefault="00B47858" w:rsidP="00684B3E">
      <w:pPr>
        <w:jc w:val="both"/>
        <w:rPr>
          <w:rFonts w:ascii="Times New Roman" w:hAnsi="Times New Roman" w:cs="Times New Roman"/>
          <w:sz w:val="24"/>
          <w:szCs w:val="24"/>
        </w:rPr>
      </w:pPr>
    </w:p>
    <w:p w14:paraId="26C8243A" w14:textId="6D1D5F9E" w:rsidR="00B47858" w:rsidRPr="00EF23ED" w:rsidRDefault="00B47858" w:rsidP="00EF23ED">
      <w:pPr>
        <w:pStyle w:val="Heading3"/>
        <w:numPr>
          <w:ilvl w:val="0"/>
          <w:numId w:val="15"/>
        </w:numPr>
        <w:spacing w:after="200"/>
        <w:ind w:left="1134" w:hanging="425"/>
        <w:contextualSpacing w:val="0"/>
        <w:rPr>
          <w:b w:val="0"/>
          <w:bCs/>
          <w:i w:val="0"/>
          <w:iCs/>
        </w:rPr>
      </w:pPr>
      <w:r w:rsidRPr="00EF23ED">
        <w:rPr>
          <w:b w:val="0"/>
          <w:bCs/>
          <w:i w:val="0"/>
          <w:iCs/>
        </w:rPr>
        <w:lastRenderedPageBreak/>
        <w:t xml:space="preserve">The </w:t>
      </w:r>
      <w:r w:rsidR="005C6452">
        <w:rPr>
          <w:b w:val="0"/>
          <w:bCs/>
          <w:i w:val="0"/>
          <w:iCs/>
        </w:rPr>
        <w:t>P</w:t>
      </w:r>
      <w:r w:rsidR="005C6452" w:rsidRPr="00EF23ED">
        <w:rPr>
          <w:b w:val="0"/>
          <w:bCs/>
          <w:i w:val="0"/>
          <w:iCs/>
        </w:rPr>
        <w:t xml:space="preserve">rinciples </w:t>
      </w:r>
      <w:r w:rsidRPr="00EF23ED">
        <w:rPr>
          <w:b w:val="0"/>
          <w:bCs/>
          <w:i w:val="0"/>
          <w:iCs/>
        </w:rPr>
        <w:t>of Federalism, Protection of Minorities and Subsidiarity</w:t>
      </w:r>
    </w:p>
    <w:p w14:paraId="5FF80FDF" w14:textId="5423276F"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B646EF">
        <w:rPr>
          <w:rFonts w:ascii="Times New Roman" w:hAnsi="Times New Roman" w:cs="Times New Roman"/>
          <w:sz w:val="24"/>
          <w:szCs w:val="24"/>
        </w:rPr>
        <w:t xml:space="preserve">In </w:t>
      </w:r>
      <w:r w:rsidRPr="00684B3E">
        <w:rPr>
          <w:rFonts w:ascii="Times New Roman" w:hAnsi="Times New Roman" w:cs="Times New Roman"/>
          <w:i/>
          <w:sz w:val="24"/>
          <w:szCs w:val="24"/>
        </w:rPr>
        <w:t>Reference re Secession of Quebec</w:t>
      </w:r>
      <w:r w:rsidRPr="00BB38CE">
        <w:rPr>
          <w:rFonts w:ascii="Times New Roman" w:hAnsi="Times New Roman" w:cs="Times New Roman"/>
          <w:sz w:val="24"/>
          <w:szCs w:val="24"/>
        </w:rPr>
        <w:t>,</w:t>
      </w:r>
      <w:r w:rsidRPr="00B646EF">
        <w:rPr>
          <w:rFonts w:ascii="Times New Roman" w:hAnsi="Times New Roman" w:cs="Times New Roman"/>
          <w:sz w:val="24"/>
          <w:szCs w:val="24"/>
        </w:rPr>
        <w:t xml:space="preserve"> the SCC confirmed that the “Constitution of Canada” is not limited to its constitutional texts but embraces unwritten rules that guide the interpretation of the written text.</w:t>
      </w:r>
      <w:r>
        <w:rPr>
          <w:rStyle w:val="FootnoteReference"/>
          <w:rFonts w:ascii="Times New Roman" w:hAnsi="Times New Roman" w:cs="Times New Roman"/>
          <w:sz w:val="24"/>
          <w:szCs w:val="24"/>
        </w:rPr>
        <w:footnoteReference w:id="76"/>
      </w:r>
      <w:r w:rsidRPr="00B646EF">
        <w:rPr>
          <w:rFonts w:ascii="Times New Roman" w:hAnsi="Times New Roman" w:cs="Times New Roman"/>
          <w:sz w:val="24"/>
          <w:szCs w:val="24"/>
        </w:rPr>
        <w:t xml:space="preserve">  Here, a number of unwritten principles support an interpretation of </w:t>
      </w:r>
      <w:r w:rsidR="002B4063">
        <w:rPr>
          <w:rFonts w:ascii="Times New Roman" w:hAnsi="Times New Roman" w:cs="Times New Roman"/>
          <w:sz w:val="24"/>
          <w:szCs w:val="24"/>
        </w:rPr>
        <w:t>s 91</w:t>
      </w:r>
      <w:r w:rsidRPr="00B646EF">
        <w:rPr>
          <w:rFonts w:ascii="Times New Roman" w:hAnsi="Times New Roman" w:cs="Times New Roman"/>
          <w:sz w:val="24"/>
          <w:szCs w:val="24"/>
        </w:rPr>
        <w:t xml:space="preserve">(24) that respects Indigenous self-determination.   </w:t>
      </w:r>
    </w:p>
    <w:p w14:paraId="5C97E81A" w14:textId="77777777" w:rsidR="00B47858" w:rsidRDefault="00B47858" w:rsidP="00684B3E">
      <w:pPr>
        <w:pStyle w:val="ListParagraph"/>
        <w:ind w:left="0"/>
        <w:jc w:val="both"/>
        <w:rPr>
          <w:rFonts w:ascii="Times New Roman" w:hAnsi="Times New Roman" w:cs="Times New Roman"/>
          <w:sz w:val="24"/>
          <w:szCs w:val="24"/>
        </w:rPr>
      </w:pPr>
    </w:p>
    <w:p w14:paraId="613F2280" w14:textId="15313116" w:rsidR="00B47858" w:rsidRDefault="00B47858" w:rsidP="00EF23ED">
      <w:pPr>
        <w:pStyle w:val="ListParagraph"/>
        <w:numPr>
          <w:ilvl w:val="0"/>
          <w:numId w:val="1"/>
        </w:numPr>
        <w:spacing w:after="160"/>
        <w:ind w:left="0" w:firstLine="0"/>
        <w:contextualSpacing w:val="0"/>
        <w:jc w:val="both"/>
      </w:pPr>
      <w:r w:rsidRPr="00EF23ED">
        <w:rPr>
          <w:rFonts w:ascii="Times New Roman" w:hAnsi="Times New Roman" w:cs="Times New Roman"/>
          <w:sz w:val="24"/>
        </w:rPr>
        <w:t xml:space="preserve">In </w:t>
      </w:r>
      <w:r w:rsidRPr="00EF23ED">
        <w:rPr>
          <w:rFonts w:ascii="Times New Roman" w:hAnsi="Times New Roman" w:cs="Times New Roman"/>
          <w:i/>
          <w:sz w:val="24"/>
          <w:szCs w:val="24"/>
        </w:rPr>
        <w:t>Ref re Secession</w:t>
      </w:r>
      <w:r w:rsidRPr="00EF23ED">
        <w:rPr>
          <w:rFonts w:ascii="Times New Roman" w:hAnsi="Times New Roman" w:cs="Times New Roman"/>
          <w:sz w:val="24"/>
          <w:szCs w:val="24"/>
        </w:rPr>
        <w:t>, the SCC emphasized the significance of federalism as a fundamental principle underlying our Constitution and underlined that the principle promotes diversity in governance.</w:t>
      </w:r>
      <w:r>
        <w:rPr>
          <w:rStyle w:val="FootnoteReference"/>
          <w:rFonts w:ascii="Times New Roman" w:hAnsi="Times New Roman" w:cs="Times New Roman"/>
          <w:sz w:val="24"/>
          <w:szCs w:val="24"/>
        </w:rPr>
        <w:footnoteReference w:id="77"/>
      </w:r>
      <w:r w:rsidRPr="00EF23ED">
        <w:rPr>
          <w:rFonts w:ascii="Times New Roman" w:hAnsi="Times New Roman" w:cs="Times New Roman"/>
          <w:sz w:val="24"/>
          <w:szCs w:val="24"/>
        </w:rPr>
        <w:t xml:space="preserve">  The SCC linked the principle of federalism with the protection of distinct cultural and political traditions:</w:t>
      </w:r>
    </w:p>
    <w:p w14:paraId="54CE3EEA" w14:textId="01D01491" w:rsidR="00B47858" w:rsidRPr="00C07E51" w:rsidRDefault="00B47858" w:rsidP="00EF23ED">
      <w:pPr>
        <w:spacing w:after="160"/>
        <w:ind w:left="720"/>
        <w:jc w:val="both"/>
        <w:rPr>
          <w:rFonts w:ascii="Times New Roman" w:hAnsi="Times New Roman" w:cs="Times New Roman"/>
          <w:sz w:val="24"/>
          <w:szCs w:val="24"/>
        </w:rPr>
      </w:pPr>
      <w:r w:rsidRPr="00EF23ED">
        <w:rPr>
          <w:rFonts w:ascii="Times New Roman" w:hAnsi="Times New Roman" w:cs="Times New Roman"/>
          <w:sz w:val="20"/>
          <w:szCs w:val="20"/>
        </w:rPr>
        <w:t xml:space="preserve">Federalism was a legal response to the underlying political and cultural realities that existed at Confederation and continue to exist today.… The federal-provincial division of powers was a legal recognition of the diversity that existed among the initial members of </w:t>
      </w:r>
      <w:r w:rsidRPr="00EF23ED">
        <w:rPr>
          <w:rFonts w:ascii="Times New Roman" w:hAnsi="Times New Roman" w:cs="Times New Roman"/>
          <w:noProof/>
          <w:sz w:val="20"/>
          <w:szCs w:val="20"/>
        </w:rPr>
        <w:t>Confederation,</w:t>
      </w:r>
      <w:r w:rsidRPr="00EF23ED">
        <w:rPr>
          <w:rFonts w:ascii="Times New Roman" w:hAnsi="Times New Roman" w:cs="Times New Roman"/>
          <w:sz w:val="20"/>
          <w:szCs w:val="20"/>
        </w:rPr>
        <w:t xml:space="preserve"> and manifested a concern to accommodate that diversity within a single nation by granting significant powers to provincial governments.</w:t>
      </w:r>
      <w:r>
        <w:rPr>
          <w:rStyle w:val="FootnoteReference"/>
          <w:rFonts w:ascii="Times New Roman" w:hAnsi="Times New Roman" w:cs="Times New Roman"/>
          <w:sz w:val="24"/>
          <w:szCs w:val="24"/>
        </w:rPr>
        <w:footnoteReference w:id="78"/>
      </w:r>
    </w:p>
    <w:p w14:paraId="012F3926" w14:textId="0B20476E" w:rsidR="00B47858" w:rsidRDefault="00B47858" w:rsidP="00684B3E">
      <w:pPr>
        <w:jc w:val="both"/>
        <w:rPr>
          <w:rFonts w:ascii="Times New Roman" w:hAnsi="Times New Roman" w:cs="Times New Roman"/>
          <w:sz w:val="24"/>
          <w:szCs w:val="24"/>
        </w:rPr>
      </w:pPr>
      <w:r>
        <w:rPr>
          <w:rFonts w:ascii="Times New Roman" w:hAnsi="Times New Roman" w:cs="Times New Roman"/>
          <w:sz w:val="24"/>
          <w:szCs w:val="24"/>
        </w:rPr>
        <w:t>As noted by Ryder, Indigenous groups have a claim similar to that of the provinces: that the federalism principle supports their autonomy/self-determination in governance, given the important goal of protecting their distinctive cultural and political traditions.</w:t>
      </w:r>
      <w:r>
        <w:rPr>
          <w:rStyle w:val="FootnoteReference"/>
          <w:rFonts w:ascii="Times New Roman" w:hAnsi="Times New Roman" w:cs="Times New Roman"/>
          <w:sz w:val="24"/>
          <w:szCs w:val="24"/>
        </w:rPr>
        <w:footnoteReference w:id="79"/>
      </w:r>
    </w:p>
    <w:p w14:paraId="68BE99CB" w14:textId="77777777" w:rsidR="00B47858" w:rsidRPr="00C07E51" w:rsidRDefault="00B47858" w:rsidP="00684B3E">
      <w:pPr>
        <w:jc w:val="both"/>
        <w:rPr>
          <w:rFonts w:ascii="Times New Roman" w:hAnsi="Times New Roman" w:cs="Times New Roman"/>
          <w:sz w:val="24"/>
          <w:szCs w:val="24"/>
        </w:rPr>
      </w:pPr>
    </w:p>
    <w:p w14:paraId="335C6E23" w14:textId="7D52D32E" w:rsidR="00B47858" w:rsidRDefault="00B47858" w:rsidP="00684B3E">
      <w:pPr>
        <w:pStyle w:val="ListParagraph"/>
        <w:numPr>
          <w:ilvl w:val="0"/>
          <w:numId w:val="1"/>
        </w:numPr>
        <w:ind w:left="0" w:firstLine="0"/>
        <w:jc w:val="both"/>
        <w:rPr>
          <w:rFonts w:ascii="Times New Roman" w:hAnsi="Times New Roman" w:cs="Times New Roman"/>
          <w:sz w:val="24"/>
        </w:rPr>
      </w:pPr>
      <w:r w:rsidRPr="00B646EF">
        <w:rPr>
          <w:rFonts w:ascii="Times New Roman" w:hAnsi="Times New Roman" w:cs="Times New Roman"/>
          <w:sz w:val="24"/>
        </w:rPr>
        <w:t xml:space="preserve">This notion of diversity underlying federalism was expanded in </w:t>
      </w:r>
      <w:r>
        <w:rPr>
          <w:rFonts w:ascii="Times New Roman" w:hAnsi="Times New Roman" w:cs="Times New Roman"/>
          <w:i/>
          <w:sz w:val="24"/>
        </w:rPr>
        <w:t xml:space="preserve">Ref re Secession </w:t>
      </w:r>
      <w:r w:rsidRPr="00B646EF">
        <w:rPr>
          <w:rFonts w:ascii="Times New Roman" w:hAnsi="Times New Roman" w:cs="Times New Roman"/>
          <w:sz w:val="24"/>
        </w:rPr>
        <w:t xml:space="preserve">to inform a further independent constitutional principle of respect for minorities. The </w:t>
      </w:r>
      <w:r>
        <w:rPr>
          <w:rFonts w:ascii="Times New Roman" w:hAnsi="Times New Roman" w:cs="Times New Roman"/>
          <w:sz w:val="24"/>
        </w:rPr>
        <w:t>SCC</w:t>
      </w:r>
      <w:r w:rsidRPr="00B646EF">
        <w:rPr>
          <w:rFonts w:ascii="Times New Roman" w:hAnsi="Times New Roman" w:cs="Times New Roman"/>
          <w:sz w:val="24"/>
        </w:rPr>
        <w:t xml:space="preserve"> observed that the protection of minority rights was clearly an essential consideration in the constitutional structure at the time of Confederation, and that principle was further reflected in a number of provisions in both the </w:t>
      </w:r>
      <w:r w:rsidRPr="00B646EF">
        <w:rPr>
          <w:rFonts w:ascii="Times New Roman" w:hAnsi="Times New Roman" w:cs="Times New Roman"/>
          <w:i/>
          <w:sz w:val="24"/>
        </w:rPr>
        <w:t>Constitution Acts, 1867</w:t>
      </w:r>
      <w:r w:rsidRPr="00B646EF">
        <w:rPr>
          <w:rFonts w:ascii="Times New Roman" w:hAnsi="Times New Roman" w:cs="Times New Roman"/>
          <w:sz w:val="24"/>
        </w:rPr>
        <w:t xml:space="preserve"> and </w:t>
      </w:r>
      <w:r w:rsidRPr="00B646EF">
        <w:rPr>
          <w:rFonts w:ascii="Times New Roman" w:hAnsi="Times New Roman" w:cs="Times New Roman"/>
          <w:i/>
          <w:sz w:val="24"/>
        </w:rPr>
        <w:t>1982</w:t>
      </w:r>
      <w:r w:rsidRPr="00B646EF">
        <w:rPr>
          <w:rFonts w:ascii="Times New Roman" w:hAnsi="Times New Roman" w:cs="Times New Roman"/>
          <w:sz w:val="24"/>
        </w:rPr>
        <w:t>.</w:t>
      </w:r>
      <w:r>
        <w:rPr>
          <w:rFonts w:ascii="Times New Roman" w:hAnsi="Times New Roman" w:cs="Times New Roman"/>
          <w:sz w:val="24"/>
        </w:rPr>
        <w:t xml:space="preserve"> We believe that this principle of respect for minorities bolsters the need to interpret </w:t>
      </w:r>
      <w:r w:rsidR="002B4063">
        <w:rPr>
          <w:rFonts w:ascii="Times New Roman" w:hAnsi="Times New Roman" w:cs="Times New Roman"/>
          <w:sz w:val="24"/>
        </w:rPr>
        <w:t>s 91</w:t>
      </w:r>
      <w:r>
        <w:rPr>
          <w:rFonts w:ascii="Times New Roman" w:hAnsi="Times New Roman" w:cs="Times New Roman"/>
          <w:sz w:val="24"/>
        </w:rPr>
        <w:t xml:space="preserve">(24) consistent with substantive equality, which (according to the principle emerging from </w:t>
      </w:r>
      <w:r>
        <w:rPr>
          <w:rFonts w:ascii="Times New Roman" w:hAnsi="Times New Roman" w:cs="Times New Roman"/>
          <w:i/>
          <w:sz w:val="24"/>
        </w:rPr>
        <w:t>Caring Society</w:t>
      </w:r>
      <w:r>
        <w:rPr>
          <w:rFonts w:ascii="Times New Roman" w:hAnsi="Times New Roman" w:cs="Times New Roman"/>
          <w:sz w:val="24"/>
        </w:rPr>
        <w:t xml:space="preserve"> and other precedents) is linked to Indigenous peoples’ right to self-determination. </w:t>
      </w:r>
    </w:p>
    <w:p w14:paraId="2BDB4EA1" w14:textId="77777777" w:rsidR="00B47858" w:rsidRDefault="00B47858" w:rsidP="00684B3E">
      <w:pPr>
        <w:pStyle w:val="ListParagraph"/>
        <w:ind w:left="0"/>
        <w:jc w:val="both"/>
        <w:rPr>
          <w:rFonts w:ascii="Times New Roman" w:hAnsi="Times New Roman" w:cs="Times New Roman"/>
          <w:sz w:val="24"/>
        </w:rPr>
      </w:pPr>
    </w:p>
    <w:p w14:paraId="25455FCA" w14:textId="0DC09A02" w:rsidR="00B47858" w:rsidRPr="00B646EF" w:rsidRDefault="00B47858" w:rsidP="00684B3E">
      <w:pPr>
        <w:pStyle w:val="ListParagraph"/>
        <w:numPr>
          <w:ilvl w:val="0"/>
          <w:numId w:val="1"/>
        </w:numPr>
        <w:ind w:left="0" w:firstLine="0"/>
        <w:jc w:val="both"/>
        <w:rPr>
          <w:rFonts w:ascii="Times New Roman" w:hAnsi="Times New Roman" w:cs="Times New Roman"/>
          <w:sz w:val="24"/>
        </w:rPr>
      </w:pPr>
      <w:r w:rsidRPr="00B646EF">
        <w:rPr>
          <w:rFonts w:ascii="Times New Roman" w:hAnsi="Times New Roman" w:cs="Times New Roman"/>
          <w:sz w:val="24"/>
          <w:szCs w:val="24"/>
        </w:rPr>
        <w:t xml:space="preserve">Finally, the principle of federalism, through promoting diversity in governance, spawned yet another principle, that of subsidiarity. This principle first emerged (though unnamed) in </w:t>
      </w:r>
      <w:r w:rsidRPr="00B646EF">
        <w:rPr>
          <w:rFonts w:ascii="Times New Roman" w:hAnsi="Times New Roman" w:cs="Times New Roman"/>
          <w:i/>
          <w:sz w:val="24"/>
        </w:rPr>
        <w:t>Ref re Secession</w:t>
      </w:r>
      <w:r w:rsidRPr="00B646EF">
        <w:rPr>
          <w:rFonts w:ascii="Times New Roman" w:hAnsi="Times New Roman" w:cs="Times New Roman"/>
          <w:sz w:val="24"/>
        </w:rPr>
        <w:t xml:space="preserve"> </w:t>
      </w:r>
      <w:r w:rsidRPr="00B646EF">
        <w:rPr>
          <w:rFonts w:ascii="Times New Roman" w:hAnsi="Times New Roman" w:cs="Times New Roman"/>
          <w:sz w:val="24"/>
          <w:szCs w:val="24"/>
        </w:rPr>
        <w:t>when the Court noted that “the federal structure of our country facilitates democratic participation by distributing power to the government thought to be most suited to achieving the particular societal objective having regard</w:t>
      </w:r>
      <w:r>
        <w:rPr>
          <w:rFonts w:ascii="Times New Roman" w:hAnsi="Times New Roman" w:cs="Times New Roman"/>
          <w:sz w:val="24"/>
          <w:szCs w:val="24"/>
        </w:rPr>
        <w:t xml:space="preserve"> to this diversity.”</w:t>
      </w:r>
      <w:r>
        <w:rPr>
          <w:rStyle w:val="FootnoteReference"/>
          <w:rFonts w:ascii="Times New Roman" w:hAnsi="Times New Roman" w:cs="Times New Roman"/>
          <w:sz w:val="24"/>
          <w:szCs w:val="24"/>
        </w:rPr>
        <w:footnoteReference w:id="80"/>
      </w:r>
      <w:r w:rsidRPr="00B646EF">
        <w:rPr>
          <w:rFonts w:ascii="Times New Roman" w:hAnsi="Times New Roman" w:cs="Times New Roman"/>
          <w:sz w:val="24"/>
          <w:szCs w:val="24"/>
        </w:rPr>
        <w:t xml:space="preserve"> Later in </w:t>
      </w:r>
      <w:r w:rsidRPr="00B646EF">
        <w:rPr>
          <w:rFonts w:ascii="Times New Roman" w:hAnsi="Times New Roman" w:cs="Times New Roman"/>
          <w:i/>
          <w:sz w:val="24"/>
          <w:szCs w:val="24"/>
        </w:rPr>
        <w:t xml:space="preserve">114957 Canada </w:t>
      </w:r>
      <w:proofErr w:type="spellStart"/>
      <w:r w:rsidRPr="00B646EF">
        <w:rPr>
          <w:rFonts w:ascii="Times New Roman" w:hAnsi="Times New Roman" w:cs="Times New Roman"/>
          <w:i/>
          <w:sz w:val="24"/>
          <w:szCs w:val="24"/>
        </w:rPr>
        <w:t>Ltée</w:t>
      </w:r>
      <w:proofErr w:type="spellEnd"/>
      <w:r w:rsidRPr="00B646EF">
        <w:rPr>
          <w:rFonts w:ascii="Times New Roman" w:hAnsi="Times New Roman" w:cs="Times New Roman"/>
          <w:i/>
          <w:sz w:val="24"/>
          <w:szCs w:val="24"/>
        </w:rPr>
        <w:t xml:space="preserve"> (</w:t>
      </w:r>
      <w:proofErr w:type="spellStart"/>
      <w:r w:rsidRPr="00B646EF">
        <w:rPr>
          <w:rFonts w:ascii="Times New Roman" w:hAnsi="Times New Roman" w:cs="Times New Roman"/>
          <w:i/>
          <w:sz w:val="24"/>
          <w:szCs w:val="24"/>
        </w:rPr>
        <w:t>Spraytech</w:t>
      </w:r>
      <w:proofErr w:type="spellEnd"/>
      <w:r w:rsidRPr="00B646EF">
        <w:rPr>
          <w:rFonts w:ascii="Times New Roman" w:hAnsi="Times New Roman" w:cs="Times New Roman"/>
          <w:i/>
          <w:sz w:val="24"/>
          <w:szCs w:val="24"/>
        </w:rPr>
        <w:t xml:space="preserve">, Société </w:t>
      </w:r>
      <w:r w:rsidRPr="00B646EF">
        <w:rPr>
          <w:rFonts w:ascii="Times New Roman" w:hAnsi="Times New Roman" w:cs="Times New Roman"/>
          <w:i/>
          <w:noProof/>
          <w:sz w:val="24"/>
          <w:szCs w:val="24"/>
        </w:rPr>
        <w:t>d’arrosage</w:t>
      </w:r>
      <w:r>
        <w:rPr>
          <w:rFonts w:ascii="Times New Roman" w:hAnsi="Times New Roman" w:cs="Times New Roman"/>
          <w:i/>
          <w:sz w:val="24"/>
          <w:szCs w:val="24"/>
        </w:rPr>
        <w:t>) v Hudson (Town)</w:t>
      </w:r>
      <w:r w:rsidRPr="00B646EF">
        <w:rPr>
          <w:rFonts w:ascii="Times New Roman" w:hAnsi="Times New Roman" w:cs="Times New Roman"/>
          <w:sz w:val="24"/>
          <w:szCs w:val="24"/>
        </w:rPr>
        <w:t xml:space="preserve">, the </w:t>
      </w:r>
      <w:r>
        <w:rPr>
          <w:rFonts w:ascii="Times New Roman" w:hAnsi="Times New Roman" w:cs="Times New Roman"/>
          <w:sz w:val="24"/>
          <w:szCs w:val="24"/>
        </w:rPr>
        <w:t>SCC</w:t>
      </w:r>
      <w:r w:rsidRPr="00B646EF">
        <w:rPr>
          <w:rFonts w:ascii="Times New Roman" w:hAnsi="Times New Roman" w:cs="Times New Roman"/>
          <w:sz w:val="24"/>
          <w:szCs w:val="24"/>
        </w:rPr>
        <w:t xml:space="preserve"> named this the “principle of subsidiarity” and set out its contours more specifically: “[t]his is the proposition that law-making and implementation are often best achieved at a level of government that is not only effective, but also closest to the citizens affected and thus most responsive to their needs, to local distinctiveness, and to population diversity</w:t>
      </w:r>
      <w:r>
        <w:rPr>
          <w:rFonts w:ascii="Times New Roman" w:hAnsi="Times New Roman" w:cs="Times New Roman"/>
          <w:sz w:val="24"/>
          <w:szCs w:val="24"/>
        </w:rPr>
        <w:t>.</w:t>
      </w:r>
      <w:r w:rsidRPr="00B646EF">
        <w:rPr>
          <w:rFonts w:ascii="Times New Roman" w:hAnsi="Times New Roman" w:cs="Times New Roman"/>
          <w:sz w:val="24"/>
          <w:szCs w:val="24"/>
        </w:rPr>
        <w:t>”</w:t>
      </w:r>
      <w:r>
        <w:rPr>
          <w:rStyle w:val="FootnoteReference"/>
          <w:rFonts w:ascii="Times New Roman" w:hAnsi="Times New Roman" w:cs="Times New Roman"/>
          <w:sz w:val="24"/>
          <w:szCs w:val="24"/>
        </w:rPr>
        <w:footnoteReference w:id="81"/>
      </w:r>
      <w:r w:rsidRPr="00B646EF">
        <w:rPr>
          <w:rFonts w:ascii="Times New Roman" w:hAnsi="Times New Roman" w:cs="Times New Roman"/>
          <w:sz w:val="24"/>
          <w:szCs w:val="24"/>
        </w:rPr>
        <w:t xml:space="preserve"> </w:t>
      </w:r>
      <w:r>
        <w:rPr>
          <w:rFonts w:ascii="Times New Roman" w:hAnsi="Times New Roman" w:cs="Times New Roman"/>
          <w:sz w:val="24"/>
          <w:szCs w:val="24"/>
        </w:rPr>
        <w:t xml:space="preserve">The principle of subsidiarity reinforces an interpretation of </w:t>
      </w:r>
      <w:r w:rsidR="002B4063">
        <w:rPr>
          <w:rFonts w:ascii="Times New Roman" w:hAnsi="Times New Roman" w:cs="Times New Roman"/>
          <w:sz w:val="24"/>
          <w:szCs w:val="24"/>
        </w:rPr>
        <w:t>s 91</w:t>
      </w:r>
      <w:r>
        <w:rPr>
          <w:rFonts w:ascii="Times New Roman" w:hAnsi="Times New Roman" w:cs="Times New Roman"/>
          <w:sz w:val="24"/>
          <w:szCs w:val="24"/>
        </w:rPr>
        <w:t xml:space="preserve">(24) </w:t>
      </w:r>
      <w:r>
        <w:rPr>
          <w:rFonts w:ascii="Times New Roman" w:hAnsi="Times New Roman" w:cs="Times New Roman"/>
          <w:sz w:val="24"/>
          <w:szCs w:val="24"/>
        </w:rPr>
        <w:lastRenderedPageBreak/>
        <w:t xml:space="preserve">that recognizes </w:t>
      </w:r>
      <w:r w:rsidR="004625A4">
        <w:rPr>
          <w:rFonts w:ascii="Times New Roman" w:hAnsi="Times New Roman" w:cs="Times New Roman"/>
          <w:sz w:val="24"/>
          <w:szCs w:val="24"/>
        </w:rPr>
        <w:t>the</w:t>
      </w:r>
      <w:r>
        <w:rPr>
          <w:rFonts w:ascii="Times New Roman" w:hAnsi="Times New Roman" w:cs="Times New Roman"/>
          <w:sz w:val="24"/>
          <w:szCs w:val="24"/>
        </w:rPr>
        <w:t xml:space="preserve"> right </w:t>
      </w:r>
      <w:r w:rsidR="004625A4">
        <w:rPr>
          <w:rFonts w:ascii="Times New Roman" w:hAnsi="Times New Roman" w:cs="Times New Roman"/>
          <w:sz w:val="24"/>
          <w:szCs w:val="24"/>
        </w:rPr>
        <w:t>o</w:t>
      </w:r>
      <w:r w:rsidR="00040383">
        <w:rPr>
          <w:rFonts w:ascii="Times New Roman" w:hAnsi="Times New Roman" w:cs="Times New Roman"/>
          <w:sz w:val="24"/>
          <w:szCs w:val="24"/>
        </w:rPr>
        <w:t xml:space="preserve">f </w:t>
      </w:r>
      <w:r>
        <w:rPr>
          <w:rFonts w:ascii="Times New Roman" w:hAnsi="Times New Roman" w:cs="Times New Roman"/>
          <w:sz w:val="24"/>
          <w:szCs w:val="24"/>
        </w:rPr>
        <w:t>Indigenous governments to self-determine in matters affecting Indigenous peoples.</w:t>
      </w:r>
    </w:p>
    <w:p w14:paraId="11C5079F" w14:textId="483FFBCC" w:rsidR="00B47858" w:rsidRPr="001B5F4D" w:rsidRDefault="00B47858" w:rsidP="00684B3E"/>
    <w:p w14:paraId="7476BA1D" w14:textId="5840BE8D" w:rsidR="00B47858" w:rsidRPr="00EF23ED" w:rsidRDefault="00B47858" w:rsidP="00EF23ED">
      <w:pPr>
        <w:pStyle w:val="Heading3"/>
        <w:numPr>
          <w:ilvl w:val="0"/>
          <w:numId w:val="15"/>
        </w:numPr>
        <w:spacing w:after="200"/>
        <w:ind w:left="1134" w:hanging="425"/>
        <w:contextualSpacing w:val="0"/>
        <w:rPr>
          <w:b w:val="0"/>
          <w:bCs/>
          <w:i w:val="0"/>
          <w:iCs/>
        </w:rPr>
      </w:pPr>
      <w:r w:rsidRPr="00EF23ED">
        <w:rPr>
          <w:b w:val="0"/>
          <w:bCs/>
          <w:i w:val="0"/>
          <w:iCs/>
        </w:rPr>
        <w:t xml:space="preserve">Reconciliation and the </w:t>
      </w:r>
      <w:r w:rsidR="005117EE">
        <w:rPr>
          <w:b w:val="0"/>
          <w:bCs/>
          <w:i w:val="0"/>
          <w:iCs/>
        </w:rPr>
        <w:t>H</w:t>
      </w:r>
      <w:r w:rsidR="005117EE" w:rsidRPr="00EF23ED">
        <w:rPr>
          <w:b w:val="0"/>
          <w:bCs/>
          <w:i w:val="0"/>
          <w:iCs/>
        </w:rPr>
        <w:t xml:space="preserve">onour </w:t>
      </w:r>
      <w:r w:rsidRPr="00EF23ED">
        <w:rPr>
          <w:b w:val="0"/>
          <w:bCs/>
          <w:i w:val="0"/>
          <w:iCs/>
        </w:rPr>
        <w:t xml:space="preserve">of the Crown </w:t>
      </w:r>
    </w:p>
    <w:p w14:paraId="50BA3A73" w14:textId="24BEF82F" w:rsidR="00B47858" w:rsidRDefault="00B47858" w:rsidP="00EF23ED">
      <w:pPr>
        <w:pStyle w:val="ListParagraph"/>
        <w:numPr>
          <w:ilvl w:val="0"/>
          <w:numId w:val="1"/>
        </w:numPr>
        <w:spacing w:after="160"/>
        <w:ind w:left="0" w:firstLine="0"/>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w:t>
      </w:r>
      <w:r w:rsidRPr="00003A77">
        <w:rPr>
          <w:rFonts w:ascii="Times New Roman" w:hAnsi="Times New Roman" w:cs="Times New Roman"/>
          <w:i/>
          <w:color w:val="000000"/>
          <w:sz w:val="24"/>
          <w:szCs w:val="24"/>
          <w:shd w:val="clear" w:color="auto" w:fill="FFFFFF"/>
        </w:rPr>
        <w:t>Daniels</w:t>
      </w:r>
      <w:r w:rsidRPr="0097352E">
        <w:rPr>
          <w:rFonts w:ascii="Times New Roman" w:hAnsi="Times New Roman" w:cs="Times New Roman"/>
          <w:color w:val="000000"/>
          <w:sz w:val="24"/>
          <w:szCs w:val="24"/>
          <w:shd w:val="clear" w:color="auto" w:fill="FFFFFF"/>
        </w:rPr>
        <w:t>,</w:t>
      </w:r>
      <w:r w:rsidRPr="006C607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 </w:t>
      </w:r>
      <w:r w:rsidR="00230CAF">
        <w:rPr>
          <w:rFonts w:ascii="Times New Roman" w:hAnsi="Times New Roman" w:cs="Times New Roman"/>
          <w:color w:val="000000"/>
          <w:sz w:val="24"/>
          <w:szCs w:val="24"/>
          <w:shd w:val="clear" w:color="auto" w:fill="FFFFFF"/>
        </w:rPr>
        <w:t xml:space="preserve">2016 </w:t>
      </w:r>
      <w:r>
        <w:rPr>
          <w:rFonts w:ascii="Times New Roman" w:hAnsi="Times New Roman" w:cs="Times New Roman"/>
          <w:color w:val="000000"/>
          <w:sz w:val="24"/>
          <w:szCs w:val="24"/>
          <w:shd w:val="clear" w:color="auto" w:fill="FFFFFF"/>
        </w:rPr>
        <w:t xml:space="preserve">case about the interpretation of </w:t>
      </w:r>
      <w:r w:rsidR="002B4063">
        <w:rPr>
          <w:rFonts w:ascii="Times New Roman" w:hAnsi="Times New Roman" w:cs="Times New Roman"/>
          <w:color w:val="000000"/>
          <w:sz w:val="24"/>
          <w:szCs w:val="24"/>
          <w:shd w:val="clear" w:color="auto" w:fill="FFFFFF"/>
        </w:rPr>
        <w:t>s 91</w:t>
      </w:r>
      <w:r>
        <w:rPr>
          <w:rFonts w:ascii="Times New Roman" w:hAnsi="Times New Roman" w:cs="Times New Roman"/>
          <w:color w:val="000000"/>
          <w:sz w:val="24"/>
          <w:szCs w:val="24"/>
          <w:shd w:val="clear" w:color="auto" w:fill="FFFFFF"/>
        </w:rPr>
        <w:t xml:space="preserve">(24), </w:t>
      </w:r>
      <w:r w:rsidRPr="00003A77">
        <w:rPr>
          <w:rFonts w:ascii="Times New Roman" w:hAnsi="Times New Roman" w:cs="Times New Roman"/>
          <w:color w:val="000000"/>
          <w:sz w:val="24"/>
          <w:szCs w:val="24"/>
          <w:shd w:val="clear" w:color="auto" w:fill="FFFFFF"/>
        </w:rPr>
        <w:t>the Supreme Court</w:t>
      </w:r>
      <w:r>
        <w:rPr>
          <w:rFonts w:ascii="Times New Roman" w:hAnsi="Times New Roman" w:cs="Times New Roman"/>
          <w:color w:val="000000"/>
          <w:sz w:val="24"/>
          <w:szCs w:val="24"/>
          <w:shd w:val="clear" w:color="auto" w:fill="FFFFFF"/>
        </w:rPr>
        <w:t xml:space="preserve"> clarified that several recent actions taken by Canada signal an overall goal to achieve reconciliation:</w:t>
      </w:r>
    </w:p>
    <w:p w14:paraId="21005D07" w14:textId="4962EB5D" w:rsidR="00B47858" w:rsidRDefault="00B47858" w:rsidP="00EF23ED">
      <w:pPr>
        <w:spacing w:after="160"/>
        <w:ind w:left="720"/>
        <w:jc w:val="both"/>
        <w:rPr>
          <w:rFonts w:ascii="Times New Roman" w:hAnsi="Times New Roman" w:cs="Times New Roman"/>
          <w:sz w:val="24"/>
          <w:szCs w:val="24"/>
        </w:rPr>
      </w:pPr>
      <w:r w:rsidRPr="00EF23ED">
        <w:rPr>
          <w:rFonts w:ascii="Times New Roman" w:hAnsi="Times New Roman" w:cs="Times New Roman"/>
          <w:sz w:val="20"/>
          <w:szCs w:val="20"/>
        </w:rPr>
        <w:t>The constitutional changes, the apologies for historic wrongs, a growing appreciation that Aboriginal and non-Aboriginal people are partners in Confederation, the Report of the Royal Commission on Aboriginal Peoples, and the Final Report of the Truth and Reconciliation Commission of Canada, all indicate that reconciliation with all of Canada’s Aboriginal peoples is Parliament’s goal.</w:t>
      </w:r>
      <w:r w:rsidRPr="00040383">
        <w:rPr>
          <w:rStyle w:val="FootnoteReference"/>
          <w:rFonts w:ascii="Times New Roman" w:hAnsi="Times New Roman" w:cs="Times New Roman"/>
          <w:sz w:val="20"/>
          <w:szCs w:val="20"/>
        </w:rPr>
        <w:footnoteReference w:id="82"/>
      </w:r>
    </w:p>
    <w:p w14:paraId="1C7AF87D" w14:textId="540F63A5" w:rsidR="00B47858" w:rsidRDefault="00B47858" w:rsidP="00684B3E">
      <w:pPr>
        <w:pStyle w:val="ListParagraph"/>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Based on this, Parliament’s overall goal of reconciliation ought to inform the interpretation of the Constitution, meaning we ought to be prepared to discard the older, problematic interpretation of </w:t>
      </w:r>
      <w:r w:rsidR="002B4063">
        <w:rPr>
          <w:rFonts w:ascii="Times New Roman" w:hAnsi="Times New Roman" w:cs="Times New Roman"/>
          <w:color w:val="000000"/>
          <w:sz w:val="24"/>
          <w:szCs w:val="24"/>
          <w:shd w:val="clear" w:color="auto" w:fill="FFFFFF"/>
        </w:rPr>
        <w:t>s 91</w:t>
      </w:r>
      <w:r>
        <w:rPr>
          <w:rFonts w:ascii="Times New Roman" w:hAnsi="Times New Roman" w:cs="Times New Roman"/>
          <w:color w:val="000000"/>
          <w:sz w:val="24"/>
          <w:szCs w:val="24"/>
          <w:shd w:val="clear" w:color="auto" w:fill="FFFFFF"/>
        </w:rPr>
        <w:t>(24) in favour of ones that do not perpetuate assimilation and cause harm to Indigenous peoples.</w:t>
      </w:r>
      <w:r>
        <w:rPr>
          <w:rStyle w:val="FootnoteReference"/>
          <w:rFonts w:ascii="Times New Roman" w:hAnsi="Times New Roman" w:cs="Times New Roman"/>
          <w:color w:val="000000"/>
          <w:sz w:val="24"/>
          <w:szCs w:val="24"/>
          <w:shd w:val="clear" w:color="auto" w:fill="FFFFFF"/>
        </w:rPr>
        <w:footnoteReference w:id="83"/>
      </w:r>
    </w:p>
    <w:p w14:paraId="5D4C9776" w14:textId="77777777" w:rsidR="00B47858" w:rsidRPr="00003A77" w:rsidRDefault="00B47858" w:rsidP="00684B3E">
      <w:pPr>
        <w:pStyle w:val="ListParagraph"/>
        <w:ind w:left="0"/>
        <w:jc w:val="both"/>
        <w:rPr>
          <w:rFonts w:ascii="Times New Roman" w:hAnsi="Times New Roman" w:cs="Times New Roman"/>
          <w:color w:val="000000"/>
          <w:sz w:val="24"/>
          <w:szCs w:val="24"/>
          <w:shd w:val="clear" w:color="auto" w:fill="FFFFFF"/>
        </w:rPr>
      </w:pPr>
    </w:p>
    <w:p w14:paraId="7FF1F316" w14:textId="1EB86975" w:rsidR="00B47858" w:rsidRPr="00752104" w:rsidRDefault="00B47858" w:rsidP="00684B3E">
      <w:pPr>
        <w:pStyle w:val="ListParagraph"/>
        <w:numPr>
          <w:ilvl w:val="0"/>
          <w:numId w:val="1"/>
        </w:numPr>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Further to this, the</w:t>
      </w:r>
      <w:r w:rsidRPr="00AB0A0F">
        <w:rPr>
          <w:rFonts w:ascii="Times New Roman" w:hAnsi="Times New Roman" w:cs="Times New Roman"/>
          <w:color w:val="000000"/>
          <w:sz w:val="24"/>
          <w:szCs w:val="24"/>
          <w:shd w:val="clear" w:color="auto" w:fill="FFFFFF"/>
        </w:rPr>
        <w:t xml:space="preserve"> honour of the Crown has been called</w:t>
      </w:r>
      <w:r>
        <w:rPr>
          <w:rFonts w:ascii="Times New Roman" w:hAnsi="Times New Roman" w:cs="Times New Roman"/>
          <w:color w:val="000000"/>
          <w:sz w:val="24"/>
          <w:szCs w:val="24"/>
          <w:shd w:val="clear" w:color="auto" w:fill="FFFFFF"/>
        </w:rPr>
        <w:t xml:space="preserve"> a “constitutional principle.”</w:t>
      </w:r>
      <w:r>
        <w:rPr>
          <w:rStyle w:val="FootnoteReference"/>
          <w:rFonts w:ascii="Times New Roman" w:hAnsi="Times New Roman" w:cs="Times New Roman"/>
          <w:color w:val="000000"/>
          <w:sz w:val="24"/>
          <w:szCs w:val="24"/>
          <w:shd w:val="clear" w:color="auto" w:fill="FFFFFF"/>
        </w:rPr>
        <w:footnoteReference w:id="84"/>
      </w:r>
      <w:r w:rsidRPr="00AB0A0F">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It</w:t>
      </w:r>
      <w:r w:rsidRPr="00D054B8">
        <w:rPr>
          <w:rFonts w:ascii="Times New Roman" w:hAnsi="Times New Roman" w:cs="Times New Roman"/>
          <w:sz w:val="24"/>
          <w:szCs w:val="24"/>
        </w:rPr>
        <w:t xml:space="preserve"> has been employed to </w:t>
      </w:r>
      <w:r w:rsidR="00D3504F">
        <w:rPr>
          <w:rFonts w:ascii="Times New Roman" w:hAnsi="Times New Roman" w:cs="Times New Roman"/>
          <w:sz w:val="24"/>
          <w:szCs w:val="24"/>
        </w:rPr>
        <w:t>require</w:t>
      </w:r>
      <w:r w:rsidR="00D3504F" w:rsidRPr="00D054B8">
        <w:rPr>
          <w:rFonts w:ascii="Times New Roman" w:hAnsi="Times New Roman" w:cs="Times New Roman"/>
          <w:sz w:val="24"/>
          <w:szCs w:val="24"/>
        </w:rPr>
        <w:t xml:space="preserve"> </w:t>
      </w:r>
      <w:r w:rsidRPr="00D054B8">
        <w:rPr>
          <w:rFonts w:ascii="Times New Roman" w:hAnsi="Times New Roman" w:cs="Times New Roman"/>
          <w:sz w:val="24"/>
          <w:szCs w:val="24"/>
        </w:rPr>
        <w:t xml:space="preserve">certain conduct </w:t>
      </w:r>
      <w:r w:rsidR="00D3504F">
        <w:rPr>
          <w:rFonts w:ascii="Times New Roman" w:hAnsi="Times New Roman" w:cs="Times New Roman"/>
          <w:sz w:val="24"/>
          <w:szCs w:val="24"/>
        </w:rPr>
        <w:t>of</w:t>
      </w:r>
      <w:r w:rsidRPr="00D054B8">
        <w:rPr>
          <w:rFonts w:ascii="Times New Roman" w:hAnsi="Times New Roman" w:cs="Times New Roman"/>
          <w:sz w:val="24"/>
          <w:szCs w:val="24"/>
        </w:rPr>
        <w:t xml:space="preserve"> the Crown</w:t>
      </w:r>
      <w:r>
        <w:rPr>
          <w:rFonts w:ascii="Times New Roman" w:hAnsi="Times New Roman" w:cs="Times New Roman"/>
          <w:sz w:val="24"/>
          <w:szCs w:val="24"/>
        </w:rPr>
        <w:t>, including giving a broad and purposive interpretation to Crown promises and imputing a desire on the Crown to diligently fulfil such promises</w:t>
      </w:r>
      <w:r w:rsidRPr="00D054B8">
        <w:rPr>
          <w:rFonts w:ascii="Times New Roman" w:hAnsi="Times New Roman" w:cs="Times New Roman"/>
          <w:sz w:val="24"/>
          <w:szCs w:val="24"/>
        </w:rPr>
        <w:t>.</w:t>
      </w:r>
      <w:r>
        <w:rPr>
          <w:rStyle w:val="FootnoteReference"/>
          <w:rFonts w:ascii="Times New Roman" w:hAnsi="Times New Roman" w:cs="Times New Roman"/>
          <w:color w:val="000000"/>
          <w:sz w:val="24"/>
          <w:szCs w:val="24"/>
          <w:shd w:val="clear" w:color="auto" w:fill="FFFFFF"/>
        </w:rPr>
        <w:footnoteReference w:id="85"/>
      </w:r>
      <w:r>
        <w:rPr>
          <w:rFonts w:ascii="Times New Roman" w:hAnsi="Times New Roman" w:cs="Times New Roman"/>
          <w:color w:val="000000"/>
          <w:sz w:val="24"/>
          <w:szCs w:val="24"/>
          <w:shd w:val="clear" w:color="auto" w:fill="FFFFFF"/>
        </w:rPr>
        <w:t xml:space="preserve">  </w:t>
      </w:r>
      <w:r w:rsidRPr="00752104">
        <w:rPr>
          <w:rFonts w:ascii="Times New Roman" w:hAnsi="Times New Roman" w:cs="Times New Roman"/>
          <w:color w:val="000000"/>
          <w:sz w:val="24"/>
          <w:szCs w:val="24"/>
          <w:shd w:val="clear" w:color="auto" w:fill="FFFFFF"/>
        </w:rPr>
        <w:t xml:space="preserve">Based on this, we believe the honour of the Crown </w:t>
      </w:r>
      <w:r>
        <w:rPr>
          <w:rFonts w:ascii="Times New Roman" w:hAnsi="Times New Roman" w:cs="Times New Roman"/>
          <w:color w:val="000000"/>
          <w:sz w:val="24"/>
          <w:szCs w:val="24"/>
          <w:shd w:val="clear" w:color="auto" w:fill="FFFFFF"/>
        </w:rPr>
        <w:t>is relevant</w:t>
      </w:r>
      <w:r w:rsidRPr="0075210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here </w:t>
      </w:r>
      <w:r w:rsidRPr="00752104">
        <w:rPr>
          <w:rFonts w:ascii="Times New Roman" w:hAnsi="Times New Roman" w:cs="Times New Roman"/>
          <w:color w:val="000000"/>
          <w:sz w:val="24"/>
          <w:szCs w:val="24"/>
          <w:shd w:val="clear" w:color="auto" w:fill="FFFFFF"/>
        </w:rPr>
        <w:t xml:space="preserve">to compel </w:t>
      </w:r>
      <w:r>
        <w:rPr>
          <w:rFonts w:ascii="Times New Roman" w:hAnsi="Times New Roman" w:cs="Times New Roman"/>
          <w:color w:val="000000"/>
          <w:sz w:val="24"/>
          <w:szCs w:val="24"/>
          <w:shd w:val="clear" w:color="auto" w:fill="FFFFFF"/>
        </w:rPr>
        <w:t>us</w:t>
      </w:r>
      <w:r w:rsidRPr="00752104">
        <w:rPr>
          <w:rFonts w:ascii="Times New Roman" w:hAnsi="Times New Roman" w:cs="Times New Roman"/>
          <w:color w:val="000000"/>
          <w:sz w:val="24"/>
          <w:szCs w:val="24"/>
          <w:shd w:val="clear" w:color="auto" w:fill="FFFFFF"/>
        </w:rPr>
        <w:t xml:space="preserve"> to prefer interpretations of the Constitution that are consistent with commitments made by the governments in recent years (</w:t>
      </w:r>
      <w:r>
        <w:rPr>
          <w:rFonts w:ascii="Times New Roman" w:hAnsi="Times New Roman" w:cs="Times New Roman"/>
          <w:color w:val="000000"/>
          <w:sz w:val="24"/>
          <w:szCs w:val="24"/>
          <w:shd w:val="clear" w:color="auto" w:fill="FFFFFF"/>
        </w:rPr>
        <w:t>and not simply viewing these</w:t>
      </w:r>
      <w:r w:rsidRPr="00752104">
        <w:rPr>
          <w:rFonts w:ascii="Times New Roman" w:hAnsi="Times New Roman" w:cs="Times New Roman"/>
          <w:color w:val="000000"/>
          <w:sz w:val="24"/>
          <w:szCs w:val="24"/>
          <w:shd w:val="clear" w:color="auto" w:fill="FFFFFF"/>
        </w:rPr>
        <w:t xml:space="preserve"> as empty political commitments).  This includes Canada’s commitment to reconciliation, reviving the nation-to-nation relationship</w:t>
      </w:r>
      <w:r>
        <w:rPr>
          <w:rFonts w:ascii="Times New Roman" w:hAnsi="Times New Roman" w:cs="Times New Roman"/>
          <w:color w:val="000000"/>
          <w:sz w:val="24"/>
          <w:szCs w:val="24"/>
          <w:shd w:val="clear" w:color="auto" w:fill="FFFFFF"/>
        </w:rPr>
        <w:t>,</w:t>
      </w:r>
      <w:r w:rsidRPr="00752104">
        <w:rPr>
          <w:rFonts w:ascii="Times New Roman" w:hAnsi="Times New Roman" w:cs="Times New Roman"/>
          <w:color w:val="000000"/>
          <w:sz w:val="24"/>
          <w:szCs w:val="24"/>
          <w:shd w:val="clear" w:color="auto" w:fill="FFFFFF"/>
        </w:rPr>
        <w:t xml:space="preserve"> and respecting the </w:t>
      </w:r>
      <w:r w:rsidRPr="00752104">
        <w:rPr>
          <w:rFonts w:ascii="Times New Roman" w:hAnsi="Times New Roman" w:cs="Times New Roman"/>
          <w:i/>
          <w:color w:val="000000"/>
          <w:sz w:val="24"/>
          <w:szCs w:val="24"/>
          <w:shd w:val="clear" w:color="auto" w:fill="FFFFFF"/>
        </w:rPr>
        <w:t xml:space="preserve">United Nations Declaration on the Rights of Indigenous </w:t>
      </w:r>
      <w:r w:rsidRPr="003F74B6">
        <w:rPr>
          <w:rFonts w:ascii="Times New Roman" w:hAnsi="Times New Roman" w:cs="Times New Roman"/>
          <w:i/>
          <w:color w:val="000000"/>
          <w:sz w:val="24"/>
          <w:szCs w:val="24"/>
          <w:shd w:val="clear" w:color="auto" w:fill="FFFFFF"/>
        </w:rPr>
        <w:t>Peoples</w:t>
      </w:r>
      <w:r w:rsidRPr="003F74B6">
        <w:rPr>
          <w:rFonts w:ascii="Times New Roman" w:hAnsi="Times New Roman" w:cs="Times New Roman"/>
          <w:color w:val="000000"/>
          <w:sz w:val="24"/>
          <w:szCs w:val="24"/>
          <w:shd w:val="clear" w:color="auto" w:fill="FFFFFF"/>
        </w:rPr>
        <w:t xml:space="preserve"> (the </w:t>
      </w:r>
      <w:r w:rsidRPr="003F74B6">
        <w:rPr>
          <w:rFonts w:ascii="Times New Roman" w:hAnsi="Times New Roman" w:cs="Times New Roman"/>
          <w:i/>
          <w:color w:val="000000"/>
          <w:sz w:val="24"/>
          <w:szCs w:val="24"/>
          <w:shd w:val="clear" w:color="auto" w:fill="FFFFFF"/>
        </w:rPr>
        <w:t>Declaration</w:t>
      </w:r>
      <w:r w:rsidRPr="003F74B6">
        <w:rPr>
          <w:rFonts w:ascii="Times New Roman" w:hAnsi="Times New Roman" w:cs="Times New Roman"/>
          <w:color w:val="000000"/>
          <w:sz w:val="24"/>
          <w:szCs w:val="24"/>
          <w:shd w:val="clear" w:color="auto" w:fill="FFFFFF"/>
        </w:rPr>
        <w:t>)</w:t>
      </w:r>
      <w:r w:rsidRPr="003F74B6">
        <w:rPr>
          <w:rFonts w:ascii="Times New Roman" w:hAnsi="Times New Roman" w:cs="Times New Roman"/>
          <w:i/>
          <w:color w:val="000000"/>
          <w:sz w:val="24"/>
          <w:szCs w:val="24"/>
          <w:shd w:val="clear" w:color="auto" w:fill="FFFFFF"/>
        </w:rPr>
        <w:t>.</w:t>
      </w:r>
      <w:r w:rsidRPr="00752104">
        <w:rPr>
          <w:rFonts w:ascii="Times New Roman" w:hAnsi="Times New Roman" w:cs="Times New Roman"/>
          <w:color w:val="000000"/>
          <w:sz w:val="24"/>
          <w:szCs w:val="24"/>
          <w:shd w:val="clear" w:color="auto" w:fill="FFFFFF"/>
        </w:rPr>
        <w:t xml:space="preserve"> </w:t>
      </w:r>
    </w:p>
    <w:p w14:paraId="33EFC8EB" w14:textId="2AC34B80" w:rsidR="00B47858" w:rsidRPr="00904F37" w:rsidRDefault="00B47858" w:rsidP="00684B3E">
      <w:pPr>
        <w:rPr>
          <w:rFonts w:ascii="Times New Roman" w:hAnsi="Times New Roman" w:cs="Times New Roman"/>
          <w:color w:val="000000"/>
          <w:sz w:val="24"/>
          <w:szCs w:val="24"/>
          <w:shd w:val="clear" w:color="auto" w:fill="FFFFFF"/>
        </w:rPr>
      </w:pPr>
    </w:p>
    <w:p w14:paraId="1F526781" w14:textId="1A2BE755" w:rsidR="00B47858" w:rsidRPr="00AB0A0F" w:rsidRDefault="00B47858" w:rsidP="00684B3E">
      <w:pPr>
        <w:pStyle w:val="ListParagraph"/>
        <w:numPr>
          <w:ilvl w:val="0"/>
          <w:numId w:val="1"/>
        </w:numPr>
        <w:ind w:left="0" w:firstLine="0"/>
        <w:jc w:val="both"/>
        <w:rPr>
          <w:rFonts w:ascii="Times New Roman" w:hAnsi="Times New Roman" w:cs="Times New Roman"/>
          <w:color w:val="000000"/>
          <w:sz w:val="24"/>
          <w:szCs w:val="24"/>
          <w:shd w:val="clear" w:color="auto" w:fill="FFFFFF"/>
        </w:rPr>
      </w:pPr>
      <w:r w:rsidRPr="00AB0A0F">
        <w:rPr>
          <w:rFonts w:ascii="Times New Roman" w:hAnsi="Times New Roman" w:cs="Times New Roman"/>
          <w:sz w:val="24"/>
          <w:szCs w:val="24"/>
        </w:rPr>
        <w:t>In July 2017, the government of Canada released a policy setting out ten principles it intends to honour in respect of its relationship with Indigenous peoples.</w:t>
      </w:r>
      <w:r>
        <w:rPr>
          <w:rStyle w:val="FootnoteReference"/>
          <w:rFonts w:ascii="Times New Roman" w:hAnsi="Times New Roman" w:cs="Times New Roman"/>
          <w:sz w:val="24"/>
          <w:szCs w:val="24"/>
        </w:rPr>
        <w:footnoteReference w:id="86"/>
      </w:r>
      <w:r w:rsidRPr="00AB0A0F">
        <w:rPr>
          <w:rFonts w:ascii="Times New Roman" w:hAnsi="Times New Roman" w:cs="Times New Roman"/>
          <w:sz w:val="24"/>
          <w:szCs w:val="24"/>
        </w:rPr>
        <w:t xml:space="preserve">  The very first principle recognizes that relations with Indigenous peoples need to be based </w:t>
      </w:r>
      <w:r>
        <w:rPr>
          <w:rFonts w:ascii="Times New Roman" w:hAnsi="Times New Roman" w:cs="Times New Roman"/>
          <w:sz w:val="24"/>
          <w:szCs w:val="24"/>
        </w:rPr>
        <w:t xml:space="preserve">on </w:t>
      </w:r>
      <w:r w:rsidRPr="00AB0A0F">
        <w:rPr>
          <w:rFonts w:ascii="Times New Roman" w:hAnsi="Times New Roman" w:cs="Times New Roman"/>
          <w:sz w:val="24"/>
          <w:szCs w:val="24"/>
        </w:rPr>
        <w:t>their right to self-determination, including the inherent right to self-government.  The fourth principle recognizes that “Indigenous self-government is a part of Canada’s evolving system of cooperative federalism and distinct orders of government.”</w:t>
      </w:r>
      <w:r>
        <w:rPr>
          <w:rStyle w:val="FootnoteReference"/>
          <w:rFonts w:ascii="Times New Roman" w:hAnsi="Times New Roman" w:cs="Times New Roman"/>
          <w:sz w:val="24"/>
          <w:szCs w:val="24"/>
        </w:rPr>
        <w:footnoteReference w:id="87"/>
      </w:r>
      <w:r w:rsidRPr="00AB0A0F">
        <w:rPr>
          <w:rFonts w:ascii="Times New Roman" w:hAnsi="Times New Roman" w:cs="Times New Roman"/>
          <w:sz w:val="24"/>
          <w:szCs w:val="24"/>
        </w:rPr>
        <w:t xml:space="preserve">  Other principles emphasize the importance of reconciliation and respecting the </w:t>
      </w:r>
      <w:r w:rsidRPr="00AB0A0F">
        <w:rPr>
          <w:rFonts w:ascii="Times New Roman" w:hAnsi="Times New Roman" w:cs="Times New Roman"/>
          <w:i/>
          <w:sz w:val="24"/>
          <w:szCs w:val="24"/>
        </w:rPr>
        <w:t>Declaration</w:t>
      </w:r>
      <w:r w:rsidRPr="00AB0A0F">
        <w:rPr>
          <w:rFonts w:ascii="Times New Roman" w:hAnsi="Times New Roman" w:cs="Times New Roman"/>
          <w:sz w:val="24"/>
          <w:szCs w:val="24"/>
        </w:rPr>
        <w:t xml:space="preserve">.  </w:t>
      </w:r>
      <w:r>
        <w:rPr>
          <w:rFonts w:ascii="Times New Roman" w:hAnsi="Times New Roman" w:cs="Times New Roman"/>
          <w:sz w:val="24"/>
          <w:szCs w:val="24"/>
        </w:rPr>
        <w:t>Canada’s policy commitments ought to inform the honour of the Crown.</w:t>
      </w:r>
      <w:r>
        <w:rPr>
          <w:rStyle w:val="FootnoteReference"/>
          <w:rFonts w:ascii="Times New Roman" w:hAnsi="Times New Roman" w:cs="Times New Roman"/>
          <w:sz w:val="24"/>
          <w:szCs w:val="24"/>
        </w:rPr>
        <w:footnoteReference w:id="88"/>
      </w:r>
    </w:p>
    <w:p w14:paraId="7104C1C2" w14:textId="77777777" w:rsidR="00B47858" w:rsidRPr="00AB0A0F" w:rsidRDefault="00B47858" w:rsidP="00684B3E">
      <w:pPr>
        <w:pStyle w:val="ListParagraph"/>
        <w:rPr>
          <w:rFonts w:ascii="Times New Roman" w:hAnsi="Times New Roman" w:cs="Times New Roman"/>
          <w:color w:val="000000"/>
          <w:sz w:val="24"/>
          <w:szCs w:val="24"/>
          <w:shd w:val="clear" w:color="auto" w:fill="FFFFFF"/>
        </w:rPr>
      </w:pPr>
    </w:p>
    <w:p w14:paraId="5C1B7D99" w14:textId="5FB7FCF6" w:rsidR="00B47858" w:rsidRPr="00AB0A0F" w:rsidRDefault="00B47858" w:rsidP="00684B3E">
      <w:pPr>
        <w:pStyle w:val="ListParagraph"/>
        <w:numPr>
          <w:ilvl w:val="0"/>
          <w:numId w:val="1"/>
        </w:numPr>
        <w:ind w:left="0" w:firstLine="0"/>
        <w:jc w:val="both"/>
        <w:rPr>
          <w:rFonts w:ascii="Times New Roman" w:hAnsi="Times New Roman" w:cs="Times New Roman"/>
          <w:color w:val="000000"/>
          <w:sz w:val="24"/>
          <w:szCs w:val="24"/>
          <w:shd w:val="clear" w:color="auto" w:fill="FFFFFF"/>
        </w:rPr>
      </w:pPr>
      <w:r w:rsidRPr="00AB0A0F">
        <w:rPr>
          <w:rFonts w:ascii="Times New Roman" w:hAnsi="Times New Roman" w:cs="Times New Roman"/>
          <w:sz w:val="24"/>
          <w:szCs w:val="24"/>
        </w:rPr>
        <w:t>In our view, these p</w:t>
      </w:r>
      <w:r>
        <w:rPr>
          <w:rFonts w:ascii="Times New Roman" w:hAnsi="Times New Roman" w:cs="Times New Roman"/>
          <w:sz w:val="24"/>
          <w:szCs w:val="24"/>
        </w:rPr>
        <w:t xml:space="preserve">ublic and policy commitments </w:t>
      </w:r>
      <w:r w:rsidRPr="00AB0A0F">
        <w:rPr>
          <w:rFonts w:ascii="Times New Roman" w:hAnsi="Times New Roman" w:cs="Times New Roman"/>
          <w:sz w:val="24"/>
          <w:szCs w:val="24"/>
        </w:rPr>
        <w:t xml:space="preserve">weigh in favour of an interpretation of </w:t>
      </w:r>
      <w:r w:rsidR="002B4063">
        <w:rPr>
          <w:rFonts w:ascii="Times New Roman" w:hAnsi="Times New Roman" w:cs="Times New Roman"/>
          <w:sz w:val="24"/>
          <w:szCs w:val="24"/>
        </w:rPr>
        <w:t>s 91</w:t>
      </w:r>
      <w:r w:rsidRPr="00AB0A0F">
        <w:rPr>
          <w:rFonts w:ascii="Times New Roman" w:hAnsi="Times New Roman" w:cs="Times New Roman"/>
          <w:sz w:val="24"/>
          <w:szCs w:val="24"/>
        </w:rPr>
        <w:t>(24) that respects self-determination and favours a horizontal as opposed to a hierarchical relationship between Aboriginal peoples and the federal and provincial governments.</w:t>
      </w:r>
    </w:p>
    <w:p w14:paraId="1F8D7650" w14:textId="3F59FDAF" w:rsidR="00B47858" w:rsidRDefault="00B47858" w:rsidP="00684B3E">
      <w:pPr>
        <w:jc w:val="both"/>
        <w:rPr>
          <w:rFonts w:ascii="Times New Roman" w:hAnsi="Times New Roman" w:cs="Times New Roman"/>
          <w:sz w:val="24"/>
          <w:szCs w:val="24"/>
        </w:rPr>
      </w:pPr>
    </w:p>
    <w:p w14:paraId="7A65FB83" w14:textId="22EDD6F2" w:rsidR="00B47858" w:rsidRPr="00EF23ED" w:rsidRDefault="00B47858" w:rsidP="00EF23ED">
      <w:pPr>
        <w:pStyle w:val="Heading3"/>
        <w:numPr>
          <w:ilvl w:val="0"/>
          <w:numId w:val="15"/>
        </w:numPr>
        <w:spacing w:after="200"/>
        <w:ind w:left="1134" w:hanging="425"/>
        <w:contextualSpacing w:val="0"/>
        <w:rPr>
          <w:b w:val="0"/>
          <w:bCs/>
          <w:i w:val="0"/>
          <w:iCs/>
        </w:rPr>
      </w:pPr>
      <w:r w:rsidRPr="00EF23ED">
        <w:rPr>
          <w:b w:val="0"/>
          <w:bCs/>
          <w:i w:val="0"/>
          <w:iCs/>
        </w:rPr>
        <w:t xml:space="preserve">The </w:t>
      </w:r>
      <w:r w:rsidR="005117EE">
        <w:rPr>
          <w:b w:val="0"/>
          <w:bCs/>
          <w:i w:val="0"/>
          <w:iCs/>
        </w:rPr>
        <w:t>P</w:t>
      </w:r>
      <w:r w:rsidR="005117EE" w:rsidRPr="00EF23ED">
        <w:rPr>
          <w:b w:val="0"/>
          <w:bCs/>
          <w:i w:val="0"/>
          <w:iCs/>
        </w:rPr>
        <w:t xml:space="preserve">resumption </w:t>
      </w:r>
      <w:r w:rsidRPr="00EF23ED">
        <w:rPr>
          <w:b w:val="0"/>
          <w:bCs/>
          <w:i w:val="0"/>
          <w:iCs/>
        </w:rPr>
        <w:t xml:space="preserve">of </w:t>
      </w:r>
      <w:r w:rsidR="005117EE">
        <w:rPr>
          <w:b w:val="0"/>
          <w:bCs/>
          <w:i w:val="0"/>
          <w:iCs/>
        </w:rPr>
        <w:t>C</w:t>
      </w:r>
      <w:r w:rsidR="005117EE" w:rsidRPr="00EF23ED">
        <w:rPr>
          <w:b w:val="0"/>
          <w:bCs/>
          <w:i w:val="0"/>
          <w:iCs/>
        </w:rPr>
        <w:t xml:space="preserve">onformity </w:t>
      </w:r>
      <w:r w:rsidRPr="00EF23ED">
        <w:rPr>
          <w:b w:val="0"/>
          <w:bCs/>
          <w:i w:val="0"/>
          <w:iCs/>
        </w:rPr>
        <w:t xml:space="preserve">with </w:t>
      </w:r>
      <w:r w:rsidR="005117EE">
        <w:rPr>
          <w:b w:val="0"/>
          <w:bCs/>
          <w:i w:val="0"/>
          <w:iCs/>
        </w:rPr>
        <w:t>I</w:t>
      </w:r>
      <w:r w:rsidR="005117EE" w:rsidRPr="00EF23ED">
        <w:rPr>
          <w:b w:val="0"/>
          <w:bCs/>
          <w:i w:val="0"/>
          <w:iCs/>
        </w:rPr>
        <w:t xml:space="preserve">nternational </w:t>
      </w:r>
      <w:r w:rsidR="005117EE">
        <w:rPr>
          <w:b w:val="0"/>
          <w:bCs/>
          <w:i w:val="0"/>
          <w:iCs/>
        </w:rPr>
        <w:t>L</w:t>
      </w:r>
      <w:r w:rsidR="005117EE" w:rsidRPr="00EF23ED">
        <w:rPr>
          <w:b w:val="0"/>
          <w:bCs/>
          <w:i w:val="0"/>
          <w:iCs/>
        </w:rPr>
        <w:t>aw</w:t>
      </w:r>
    </w:p>
    <w:p w14:paraId="51C3F15C" w14:textId="547708A7" w:rsidR="00B47858" w:rsidRDefault="00B47858" w:rsidP="00684B3E">
      <w:pPr>
        <w:pStyle w:val="ListParagraph"/>
        <w:numPr>
          <w:ilvl w:val="0"/>
          <w:numId w:val="1"/>
        </w:numPr>
        <w:ind w:left="0" w:hanging="11"/>
        <w:jc w:val="both"/>
        <w:rPr>
          <w:rFonts w:ascii="Times New Roman" w:hAnsi="Times New Roman" w:cs="Times New Roman"/>
          <w:sz w:val="24"/>
          <w:szCs w:val="24"/>
        </w:rPr>
      </w:pPr>
      <w:r w:rsidRPr="00AB0A0F">
        <w:rPr>
          <w:rFonts w:ascii="Times New Roman" w:hAnsi="Times New Roman" w:cs="Times New Roman"/>
          <w:sz w:val="24"/>
          <w:szCs w:val="24"/>
        </w:rPr>
        <w:t>Finally, compliance with public international law militates in favour</w:t>
      </w:r>
      <w:r>
        <w:rPr>
          <w:rFonts w:ascii="Times New Roman" w:hAnsi="Times New Roman" w:cs="Times New Roman"/>
          <w:sz w:val="24"/>
          <w:szCs w:val="24"/>
        </w:rPr>
        <w:t xml:space="preserve"> of</w:t>
      </w:r>
      <w:r w:rsidRPr="00AB0A0F">
        <w:rPr>
          <w:rFonts w:ascii="Times New Roman" w:hAnsi="Times New Roman" w:cs="Times New Roman"/>
          <w:sz w:val="24"/>
          <w:szCs w:val="24"/>
        </w:rPr>
        <w:t xml:space="preserve"> a new approach to </w:t>
      </w:r>
      <w:r w:rsidR="002B4063">
        <w:rPr>
          <w:rFonts w:ascii="Times New Roman" w:hAnsi="Times New Roman" w:cs="Times New Roman"/>
          <w:sz w:val="24"/>
          <w:szCs w:val="24"/>
        </w:rPr>
        <w:t>s 91</w:t>
      </w:r>
      <w:r w:rsidRPr="00AB0A0F">
        <w:rPr>
          <w:rFonts w:ascii="Times New Roman" w:hAnsi="Times New Roman" w:cs="Times New Roman"/>
          <w:sz w:val="24"/>
          <w:szCs w:val="24"/>
        </w:rPr>
        <w:t>(24).  The federal government has committed to respect the substantive right</w:t>
      </w:r>
      <w:r>
        <w:rPr>
          <w:rFonts w:ascii="Times New Roman" w:hAnsi="Times New Roman" w:cs="Times New Roman"/>
          <w:sz w:val="24"/>
          <w:szCs w:val="24"/>
        </w:rPr>
        <w:t>s</w:t>
      </w:r>
      <w:r w:rsidRPr="00AB0A0F">
        <w:rPr>
          <w:rFonts w:ascii="Times New Roman" w:hAnsi="Times New Roman" w:cs="Times New Roman"/>
          <w:sz w:val="24"/>
          <w:szCs w:val="24"/>
        </w:rPr>
        <w:t xml:space="preserve"> to equality, security, </w:t>
      </w:r>
      <w:r>
        <w:rPr>
          <w:rFonts w:ascii="Times New Roman" w:hAnsi="Times New Roman" w:cs="Times New Roman"/>
          <w:sz w:val="24"/>
          <w:szCs w:val="24"/>
        </w:rPr>
        <w:t>and</w:t>
      </w:r>
      <w:r w:rsidR="00143196">
        <w:rPr>
          <w:rFonts w:ascii="Times New Roman" w:hAnsi="Times New Roman" w:cs="Times New Roman"/>
          <w:sz w:val="24"/>
          <w:szCs w:val="24"/>
        </w:rPr>
        <w:t xml:space="preserve"> to the</w:t>
      </w:r>
      <w:r>
        <w:rPr>
          <w:rFonts w:ascii="Times New Roman" w:hAnsi="Times New Roman" w:cs="Times New Roman"/>
          <w:sz w:val="24"/>
          <w:szCs w:val="24"/>
        </w:rPr>
        <w:t xml:space="preserve"> health and well-being of minorities</w:t>
      </w:r>
      <w:r w:rsidRPr="00AB0A0F">
        <w:rPr>
          <w:rFonts w:ascii="Times New Roman" w:hAnsi="Times New Roman" w:cs="Times New Roman"/>
          <w:sz w:val="24"/>
          <w:szCs w:val="24"/>
        </w:rPr>
        <w:t xml:space="preserve"> within Canada in a variety of international instruments.</w:t>
      </w:r>
      <w:r>
        <w:rPr>
          <w:rStyle w:val="FootnoteReference"/>
          <w:rFonts w:ascii="Times New Roman" w:hAnsi="Times New Roman" w:cs="Times New Roman"/>
          <w:sz w:val="24"/>
          <w:szCs w:val="24"/>
        </w:rPr>
        <w:footnoteReference w:id="89"/>
      </w:r>
      <w:r>
        <w:rPr>
          <w:rFonts w:ascii="Times New Roman" w:hAnsi="Times New Roman" w:cs="Times New Roman"/>
          <w:sz w:val="24"/>
          <w:szCs w:val="24"/>
        </w:rPr>
        <w:t xml:space="preserve">  As suggested in part 2, the current approach to </w:t>
      </w:r>
      <w:r w:rsidR="002B4063">
        <w:rPr>
          <w:rFonts w:ascii="Times New Roman" w:hAnsi="Times New Roman" w:cs="Times New Roman"/>
          <w:sz w:val="24"/>
          <w:szCs w:val="24"/>
        </w:rPr>
        <w:t>s 91</w:t>
      </w:r>
      <w:r>
        <w:rPr>
          <w:rFonts w:ascii="Times New Roman" w:hAnsi="Times New Roman" w:cs="Times New Roman"/>
          <w:sz w:val="24"/>
          <w:szCs w:val="24"/>
        </w:rPr>
        <w:t xml:space="preserve">(24) has failed to do this, while a new interpretation of </w:t>
      </w:r>
      <w:r w:rsidR="002B4063">
        <w:rPr>
          <w:rFonts w:ascii="Times New Roman" w:hAnsi="Times New Roman" w:cs="Times New Roman"/>
          <w:sz w:val="24"/>
          <w:szCs w:val="24"/>
        </w:rPr>
        <w:t>s 91</w:t>
      </w:r>
      <w:r>
        <w:rPr>
          <w:rFonts w:ascii="Times New Roman" w:hAnsi="Times New Roman" w:cs="Times New Roman"/>
          <w:sz w:val="24"/>
          <w:szCs w:val="24"/>
        </w:rPr>
        <w:t xml:space="preserve">(24) as protecting Indigenous self-determination would. </w:t>
      </w:r>
    </w:p>
    <w:p w14:paraId="0B79B16F" w14:textId="77777777" w:rsidR="00B47858" w:rsidRDefault="00B47858" w:rsidP="00684B3E">
      <w:pPr>
        <w:pStyle w:val="ListParagraph"/>
        <w:ind w:left="0"/>
        <w:jc w:val="both"/>
        <w:rPr>
          <w:rFonts w:ascii="Times New Roman" w:hAnsi="Times New Roman" w:cs="Times New Roman"/>
          <w:sz w:val="24"/>
          <w:szCs w:val="24"/>
        </w:rPr>
      </w:pPr>
    </w:p>
    <w:p w14:paraId="474C6009" w14:textId="26D32E0A" w:rsidR="00B47858" w:rsidRDefault="00B47858" w:rsidP="00684B3E">
      <w:pPr>
        <w:pStyle w:val="ListParagraph"/>
        <w:numPr>
          <w:ilvl w:val="0"/>
          <w:numId w:val="1"/>
        </w:numPr>
        <w:ind w:left="0" w:hanging="11"/>
        <w:jc w:val="both"/>
        <w:rPr>
          <w:rFonts w:ascii="Times New Roman" w:hAnsi="Times New Roman" w:cs="Times New Roman"/>
          <w:sz w:val="24"/>
          <w:szCs w:val="24"/>
        </w:rPr>
      </w:pPr>
      <w:r w:rsidRPr="00AB0A0F">
        <w:rPr>
          <w:rFonts w:ascii="Times New Roman" w:hAnsi="Times New Roman" w:cs="Times New Roman"/>
          <w:sz w:val="24"/>
          <w:szCs w:val="24"/>
        </w:rPr>
        <w:t xml:space="preserve">Further, since 2016, Canada has endorsed the </w:t>
      </w:r>
      <w:r w:rsidRPr="00AB0A0F">
        <w:rPr>
          <w:rFonts w:ascii="Times New Roman" w:hAnsi="Times New Roman" w:cs="Times New Roman"/>
          <w:i/>
          <w:color w:val="000000"/>
          <w:sz w:val="24"/>
          <w:szCs w:val="24"/>
          <w:shd w:val="clear" w:color="auto" w:fill="FFFFFF"/>
        </w:rPr>
        <w:t>United Nations Declaration on the Rights of Indigenous Peoples</w:t>
      </w:r>
      <w:r w:rsidRPr="00AB0A0F">
        <w:rPr>
          <w:rFonts w:ascii="Times New Roman" w:hAnsi="Times New Roman" w:cs="Times New Roman"/>
          <w:sz w:val="24"/>
          <w:szCs w:val="24"/>
        </w:rPr>
        <w:t xml:space="preserve"> without qualification.  The </w:t>
      </w:r>
      <w:r w:rsidRPr="00AB0A0F">
        <w:rPr>
          <w:rFonts w:ascii="Times New Roman" w:hAnsi="Times New Roman" w:cs="Times New Roman"/>
          <w:i/>
          <w:sz w:val="24"/>
          <w:szCs w:val="24"/>
        </w:rPr>
        <w:t xml:space="preserve">Declaration </w:t>
      </w:r>
      <w:r w:rsidRPr="00AB0A0F">
        <w:rPr>
          <w:rFonts w:ascii="Times New Roman" w:hAnsi="Times New Roman" w:cs="Times New Roman"/>
          <w:sz w:val="24"/>
          <w:szCs w:val="24"/>
        </w:rPr>
        <w:t xml:space="preserve">makes it clear that commitments to protect the basic minimum rights of peoples include Indigenous peoples.  Further, a central principle of the </w:t>
      </w:r>
      <w:r w:rsidRPr="00AB0A0F">
        <w:rPr>
          <w:rFonts w:ascii="Times New Roman" w:hAnsi="Times New Roman" w:cs="Times New Roman"/>
          <w:i/>
          <w:sz w:val="24"/>
          <w:szCs w:val="24"/>
        </w:rPr>
        <w:t>Declaration</w:t>
      </w:r>
      <w:r w:rsidRPr="00AB0A0F">
        <w:rPr>
          <w:rFonts w:ascii="Times New Roman" w:hAnsi="Times New Roman" w:cs="Times New Roman"/>
          <w:sz w:val="24"/>
          <w:szCs w:val="24"/>
        </w:rPr>
        <w:t xml:space="preserve"> is the right to self-determination.   In this regard</w:t>
      </w:r>
      <w:r>
        <w:rPr>
          <w:rFonts w:ascii="Times New Roman" w:hAnsi="Times New Roman" w:cs="Times New Roman"/>
          <w:sz w:val="24"/>
          <w:szCs w:val="24"/>
        </w:rPr>
        <w:t>,</w:t>
      </w:r>
      <w:r w:rsidRPr="00AB0A0F">
        <w:rPr>
          <w:rFonts w:ascii="Times New Roman" w:hAnsi="Times New Roman" w:cs="Times New Roman"/>
          <w:sz w:val="24"/>
          <w:szCs w:val="24"/>
        </w:rPr>
        <w:t xml:space="preserve"> </w:t>
      </w:r>
      <w:r w:rsidR="002B6DC1">
        <w:rPr>
          <w:rFonts w:ascii="Times New Roman" w:hAnsi="Times New Roman" w:cs="Times New Roman"/>
          <w:sz w:val="24"/>
          <w:szCs w:val="24"/>
        </w:rPr>
        <w:t>Article</w:t>
      </w:r>
      <w:r w:rsidRPr="00AB0A0F">
        <w:rPr>
          <w:rFonts w:ascii="Times New Roman" w:hAnsi="Times New Roman" w:cs="Times New Roman"/>
          <w:sz w:val="24"/>
          <w:szCs w:val="24"/>
        </w:rPr>
        <w:t xml:space="preserve"> 3 provides that “Indigenous peoples have the right to self-determination. By virtue of that </w:t>
      </w:r>
      <w:r w:rsidRPr="00AB0A0F">
        <w:rPr>
          <w:rFonts w:ascii="Times New Roman" w:hAnsi="Times New Roman" w:cs="Times New Roman"/>
          <w:noProof/>
          <w:sz w:val="24"/>
          <w:szCs w:val="24"/>
        </w:rPr>
        <w:t>right</w:t>
      </w:r>
      <w:r w:rsidRPr="00AB0A0F">
        <w:rPr>
          <w:rFonts w:ascii="Times New Roman" w:hAnsi="Times New Roman" w:cs="Times New Roman"/>
          <w:sz w:val="24"/>
          <w:szCs w:val="24"/>
        </w:rPr>
        <w:t xml:space="preserve"> they freely determine their political status and freely pursue their economic, social and cultural development.”</w:t>
      </w:r>
    </w:p>
    <w:p w14:paraId="5B94DA3B" w14:textId="77777777" w:rsidR="00B47858" w:rsidRPr="00805032" w:rsidRDefault="00B47858" w:rsidP="00684B3E">
      <w:pPr>
        <w:pStyle w:val="ListParagraph"/>
        <w:rPr>
          <w:rFonts w:ascii="Times New Roman" w:hAnsi="Times New Roman" w:cs="Times New Roman"/>
          <w:sz w:val="24"/>
          <w:szCs w:val="24"/>
        </w:rPr>
      </w:pPr>
    </w:p>
    <w:p w14:paraId="0E1F362B" w14:textId="6D9E7D7D" w:rsidR="00B47858" w:rsidRDefault="00B47858" w:rsidP="00684B3E">
      <w:pPr>
        <w:pStyle w:val="ListParagraph"/>
        <w:numPr>
          <w:ilvl w:val="0"/>
          <w:numId w:val="1"/>
        </w:numPr>
        <w:ind w:left="0" w:hanging="11"/>
        <w:jc w:val="both"/>
        <w:rPr>
          <w:rFonts w:ascii="Times New Roman" w:hAnsi="Times New Roman" w:cs="Times New Roman"/>
          <w:sz w:val="24"/>
          <w:szCs w:val="24"/>
        </w:rPr>
      </w:pPr>
      <w:r w:rsidRPr="00805032">
        <w:rPr>
          <w:rFonts w:ascii="Times New Roman" w:hAnsi="Times New Roman" w:cs="Times New Roman"/>
          <w:sz w:val="24"/>
          <w:szCs w:val="24"/>
        </w:rPr>
        <w:t>It is a well-established rule of statutory interpretation that Canadian law, including the Constitution, will be presumed to co</w:t>
      </w:r>
      <w:r>
        <w:rPr>
          <w:rFonts w:ascii="Times New Roman" w:hAnsi="Times New Roman" w:cs="Times New Roman"/>
          <w:sz w:val="24"/>
          <w:szCs w:val="24"/>
        </w:rPr>
        <w:t>nform to international law unless the federal government has explicitly provided otherwise within the text of a law.</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w:t>
      </w:r>
      <w:r w:rsidRPr="00DC31FD">
        <w:rPr>
          <w:rFonts w:ascii="Times New Roman" w:hAnsi="Times New Roman" w:cs="Times New Roman"/>
          <w:sz w:val="24"/>
          <w:szCs w:val="24"/>
        </w:rPr>
        <w:t xml:space="preserve">Consistent with this rule, there have been a number of cases </w:t>
      </w:r>
      <w:r>
        <w:rPr>
          <w:rFonts w:ascii="Times New Roman" w:hAnsi="Times New Roman" w:cs="Times New Roman"/>
          <w:sz w:val="24"/>
          <w:szCs w:val="24"/>
        </w:rPr>
        <w:t>where the SCC</w:t>
      </w:r>
      <w:r w:rsidRPr="00DC31FD">
        <w:rPr>
          <w:rFonts w:ascii="Times New Roman" w:hAnsi="Times New Roman" w:cs="Times New Roman"/>
          <w:sz w:val="24"/>
          <w:szCs w:val="24"/>
        </w:rPr>
        <w:t xml:space="preserve"> has use</w:t>
      </w:r>
      <w:r>
        <w:rPr>
          <w:rFonts w:ascii="Times New Roman" w:hAnsi="Times New Roman" w:cs="Times New Roman"/>
          <w:sz w:val="24"/>
          <w:szCs w:val="24"/>
        </w:rPr>
        <w:t>d international law instruments to interpret the Constitution.</w:t>
      </w:r>
      <w:r>
        <w:rPr>
          <w:rStyle w:val="FootnoteReference"/>
          <w:rFonts w:ascii="Times New Roman" w:hAnsi="Times New Roman" w:cs="Times New Roman"/>
          <w:sz w:val="24"/>
          <w:szCs w:val="24"/>
        </w:rPr>
        <w:footnoteReference w:id="91"/>
      </w:r>
      <w:r>
        <w:rPr>
          <w:rFonts w:ascii="Times New Roman" w:hAnsi="Times New Roman" w:cs="Times New Roman"/>
          <w:sz w:val="24"/>
          <w:szCs w:val="24"/>
        </w:rPr>
        <w:t xml:space="preserve">  </w:t>
      </w:r>
      <w:r w:rsidRPr="00DC31FD">
        <w:rPr>
          <w:rFonts w:ascii="Times New Roman" w:hAnsi="Times New Roman" w:cs="Times New Roman"/>
          <w:sz w:val="24"/>
          <w:szCs w:val="24"/>
        </w:rPr>
        <w:t xml:space="preserve">Although some have questioned whether the </w:t>
      </w:r>
      <w:r w:rsidRPr="00DC31FD">
        <w:rPr>
          <w:rFonts w:ascii="Times New Roman" w:hAnsi="Times New Roman" w:cs="Times New Roman"/>
          <w:i/>
          <w:sz w:val="24"/>
          <w:szCs w:val="24"/>
        </w:rPr>
        <w:t>Declaration</w:t>
      </w:r>
      <w:r w:rsidRPr="00DC31FD">
        <w:rPr>
          <w:rFonts w:ascii="Times New Roman" w:hAnsi="Times New Roman" w:cs="Times New Roman"/>
          <w:sz w:val="24"/>
          <w:szCs w:val="24"/>
        </w:rPr>
        <w:t xml:space="preserve"> </w:t>
      </w:r>
      <w:r>
        <w:rPr>
          <w:rFonts w:ascii="Times New Roman" w:hAnsi="Times New Roman" w:cs="Times New Roman"/>
          <w:sz w:val="24"/>
          <w:szCs w:val="24"/>
        </w:rPr>
        <w:t xml:space="preserve">benefits from this rule </w:t>
      </w:r>
      <w:r w:rsidRPr="00DC31FD">
        <w:rPr>
          <w:rFonts w:ascii="Times New Roman" w:hAnsi="Times New Roman" w:cs="Times New Roman"/>
          <w:sz w:val="24"/>
          <w:szCs w:val="24"/>
        </w:rPr>
        <w:t>given its status as a declaration</w:t>
      </w:r>
      <w:r>
        <w:rPr>
          <w:rFonts w:ascii="Times New Roman" w:hAnsi="Times New Roman" w:cs="Times New Roman"/>
          <w:sz w:val="24"/>
          <w:szCs w:val="24"/>
        </w:rPr>
        <w:t xml:space="preserve"> </w:t>
      </w:r>
      <w:r w:rsidRPr="00DC31FD">
        <w:rPr>
          <w:rFonts w:ascii="Times New Roman" w:hAnsi="Times New Roman" w:cs="Times New Roman"/>
          <w:sz w:val="24"/>
          <w:szCs w:val="24"/>
        </w:rPr>
        <w:t>as opposed to a ratified convention or treaty</w:t>
      </w:r>
      <w:r>
        <w:rPr>
          <w:rFonts w:ascii="Times New Roman" w:hAnsi="Times New Roman" w:cs="Times New Roman"/>
          <w:sz w:val="24"/>
          <w:szCs w:val="24"/>
        </w:rPr>
        <w:t xml:space="preserve">, it is clear that the SCC has used other analogous international declarations to interpret the Constitution; thus, such </w:t>
      </w:r>
      <w:r w:rsidRPr="00DC31FD">
        <w:rPr>
          <w:rFonts w:ascii="Times New Roman" w:hAnsi="Times New Roman" w:cs="Times New Roman"/>
          <w:sz w:val="24"/>
          <w:szCs w:val="24"/>
        </w:rPr>
        <w:t>arguments are without foundation.</w:t>
      </w:r>
      <w:r>
        <w:rPr>
          <w:rStyle w:val="FootnoteReference"/>
          <w:rFonts w:ascii="Times New Roman" w:hAnsi="Times New Roman" w:cs="Times New Roman"/>
          <w:sz w:val="24"/>
          <w:szCs w:val="24"/>
        </w:rPr>
        <w:footnoteReference w:id="92"/>
      </w:r>
    </w:p>
    <w:p w14:paraId="2A3D9614" w14:textId="27D06F55" w:rsidR="00B47858" w:rsidRPr="00F23B5D" w:rsidRDefault="00B47858" w:rsidP="00684B3E">
      <w:pPr>
        <w:pStyle w:val="ListParagraph"/>
        <w:rPr>
          <w:rFonts w:ascii="Times New Roman" w:hAnsi="Times New Roman" w:cs="Times New Roman"/>
          <w:sz w:val="24"/>
          <w:szCs w:val="24"/>
        </w:rPr>
      </w:pPr>
    </w:p>
    <w:p w14:paraId="45B566D2" w14:textId="0780A15A"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805032">
        <w:rPr>
          <w:rFonts w:ascii="Times New Roman" w:hAnsi="Times New Roman" w:cs="Times New Roman"/>
          <w:sz w:val="24"/>
          <w:szCs w:val="24"/>
        </w:rPr>
        <w:t xml:space="preserve">In any event, </w:t>
      </w:r>
      <w:r>
        <w:rPr>
          <w:rFonts w:ascii="Times New Roman" w:hAnsi="Times New Roman" w:cs="Times New Roman"/>
          <w:sz w:val="24"/>
          <w:szCs w:val="24"/>
        </w:rPr>
        <w:t xml:space="preserve">the </w:t>
      </w:r>
      <w:r w:rsidRPr="00805032">
        <w:rPr>
          <w:rFonts w:ascii="Times New Roman" w:hAnsi="Times New Roman" w:cs="Times New Roman"/>
          <w:sz w:val="24"/>
          <w:szCs w:val="24"/>
        </w:rPr>
        <w:t xml:space="preserve">principle of self-determination itself is binding in Canada because it is explicitly recognized under instruments that Canada has already ratified, separate and </w:t>
      </w:r>
      <w:r>
        <w:rPr>
          <w:rFonts w:ascii="Times New Roman" w:hAnsi="Times New Roman" w:cs="Times New Roman"/>
          <w:sz w:val="24"/>
          <w:szCs w:val="24"/>
        </w:rPr>
        <w:t>a</w:t>
      </w:r>
      <w:r w:rsidRPr="00805032">
        <w:rPr>
          <w:rFonts w:ascii="Times New Roman" w:hAnsi="Times New Roman" w:cs="Times New Roman"/>
          <w:sz w:val="24"/>
          <w:szCs w:val="24"/>
        </w:rPr>
        <w:t xml:space="preserve">part from the </w:t>
      </w:r>
      <w:r w:rsidRPr="00805032">
        <w:rPr>
          <w:rFonts w:ascii="Times New Roman" w:hAnsi="Times New Roman" w:cs="Times New Roman"/>
          <w:i/>
          <w:sz w:val="24"/>
          <w:szCs w:val="24"/>
        </w:rPr>
        <w:t>Declaration</w:t>
      </w:r>
      <w:r w:rsidRPr="00805032">
        <w:rPr>
          <w:rFonts w:ascii="Times New Roman" w:hAnsi="Times New Roman" w:cs="Times New Roman"/>
          <w:sz w:val="24"/>
          <w:szCs w:val="24"/>
        </w:rPr>
        <w:t xml:space="preserve">.  For example, Article 1 of the </w:t>
      </w:r>
      <w:r w:rsidRPr="00805032">
        <w:rPr>
          <w:rFonts w:ascii="Times New Roman" w:hAnsi="Times New Roman" w:cs="Times New Roman"/>
          <w:i/>
          <w:sz w:val="24"/>
          <w:szCs w:val="24"/>
        </w:rPr>
        <w:t>International Covenant on Civil and Political Rights</w:t>
      </w:r>
      <w:r w:rsidRPr="00805032">
        <w:rPr>
          <w:rFonts w:ascii="Times New Roman" w:hAnsi="Times New Roman" w:cs="Times New Roman"/>
          <w:sz w:val="24"/>
          <w:szCs w:val="24"/>
        </w:rPr>
        <w:t>, ratified by Canada on May 19, 1976, recognizes that “</w:t>
      </w:r>
      <w:r w:rsidRPr="00805032">
        <w:rPr>
          <w:rFonts w:ascii="Times New Roman" w:hAnsi="Times New Roman" w:cs="Times New Roman"/>
          <w:color w:val="000000"/>
          <w:sz w:val="24"/>
          <w:szCs w:val="24"/>
          <w:shd w:val="clear" w:color="auto" w:fill="FFFFFF"/>
        </w:rPr>
        <w:t>All peoples have the right of self-</w:t>
      </w:r>
      <w:r w:rsidRPr="00805032">
        <w:rPr>
          <w:rFonts w:ascii="Times New Roman" w:hAnsi="Times New Roman" w:cs="Times New Roman"/>
          <w:color w:val="000000"/>
          <w:sz w:val="24"/>
          <w:szCs w:val="24"/>
          <w:shd w:val="clear" w:color="auto" w:fill="FFFFFF"/>
        </w:rPr>
        <w:lastRenderedPageBreak/>
        <w:t xml:space="preserve">determination. By virtue of that </w:t>
      </w:r>
      <w:r w:rsidRPr="00805032">
        <w:rPr>
          <w:rFonts w:ascii="Times New Roman" w:hAnsi="Times New Roman" w:cs="Times New Roman"/>
          <w:noProof/>
          <w:color w:val="000000"/>
          <w:sz w:val="24"/>
          <w:szCs w:val="24"/>
          <w:shd w:val="clear" w:color="auto" w:fill="FFFFFF"/>
        </w:rPr>
        <w:t>right</w:t>
      </w:r>
      <w:r w:rsidRPr="00805032">
        <w:rPr>
          <w:rFonts w:ascii="Times New Roman" w:hAnsi="Times New Roman" w:cs="Times New Roman"/>
          <w:color w:val="000000"/>
          <w:sz w:val="24"/>
          <w:szCs w:val="24"/>
          <w:shd w:val="clear" w:color="auto" w:fill="FFFFFF"/>
        </w:rPr>
        <w:t xml:space="preserve"> they freely determine their political status and freely pursue their economic, social and cultural development.”</w:t>
      </w:r>
      <w:r w:rsidRPr="00805032">
        <w:rPr>
          <w:rFonts w:ascii="Times New Roman" w:hAnsi="Times New Roman" w:cs="Times New Roman"/>
          <w:sz w:val="24"/>
          <w:szCs w:val="24"/>
        </w:rPr>
        <w:t xml:space="preserve">  </w:t>
      </w:r>
      <w:r>
        <w:rPr>
          <w:rFonts w:ascii="Times New Roman" w:hAnsi="Times New Roman" w:cs="Times New Roman"/>
          <w:sz w:val="24"/>
          <w:szCs w:val="24"/>
        </w:rPr>
        <w:t>Further, in addition to the principle of self-determination Canada has publicly committed to recognize,</w:t>
      </w:r>
      <w:r w:rsidRPr="00805032">
        <w:rPr>
          <w:rFonts w:ascii="Times New Roman" w:hAnsi="Times New Roman" w:cs="Times New Roman"/>
          <w:sz w:val="24"/>
          <w:szCs w:val="24"/>
        </w:rPr>
        <w:t xml:space="preserve"> the right to self-determination is now widely acknowledged as international customary law, meaning it is binding on Canada irrespective of ratification thr</w:t>
      </w:r>
      <w:r>
        <w:rPr>
          <w:rFonts w:ascii="Times New Roman" w:hAnsi="Times New Roman" w:cs="Times New Roman"/>
          <w:sz w:val="24"/>
          <w:szCs w:val="24"/>
        </w:rPr>
        <w:t>ough a convention or a treaty.</w:t>
      </w:r>
      <w:r>
        <w:rPr>
          <w:rStyle w:val="FootnoteReference"/>
          <w:rFonts w:ascii="Times New Roman" w:hAnsi="Times New Roman" w:cs="Times New Roman"/>
          <w:sz w:val="24"/>
          <w:szCs w:val="24"/>
        </w:rPr>
        <w:footnoteReference w:id="93"/>
      </w:r>
    </w:p>
    <w:p w14:paraId="1102713D" w14:textId="77777777" w:rsidR="00B47858" w:rsidRPr="00805032" w:rsidRDefault="00B47858" w:rsidP="00684B3E">
      <w:pPr>
        <w:pStyle w:val="ListParagraph"/>
        <w:rPr>
          <w:rFonts w:ascii="Times New Roman" w:hAnsi="Times New Roman" w:cs="Times New Roman"/>
          <w:sz w:val="24"/>
          <w:szCs w:val="24"/>
        </w:rPr>
      </w:pPr>
    </w:p>
    <w:p w14:paraId="220B290F" w14:textId="6B126920" w:rsidR="00B47858" w:rsidRPr="00805032" w:rsidRDefault="00B47858" w:rsidP="00684B3E">
      <w:pPr>
        <w:pStyle w:val="ListParagraph"/>
        <w:numPr>
          <w:ilvl w:val="0"/>
          <w:numId w:val="1"/>
        </w:numPr>
        <w:ind w:left="0" w:firstLine="0"/>
        <w:jc w:val="both"/>
        <w:rPr>
          <w:rFonts w:ascii="Times New Roman" w:hAnsi="Times New Roman" w:cs="Times New Roman"/>
          <w:sz w:val="24"/>
          <w:szCs w:val="24"/>
        </w:rPr>
      </w:pPr>
      <w:r w:rsidRPr="00805032">
        <w:rPr>
          <w:rFonts w:ascii="Times New Roman" w:hAnsi="Times New Roman" w:cs="Times New Roman"/>
          <w:sz w:val="24"/>
          <w:szCs w:val="24"/>
        </w:rPr>
        <w:t>Thus, we f</w:t>
      </w:r>
      <w:r>
        <w:rPr>
          <w:rFonts w:ascii="Times New Roman" w:hAnsi="Times New Roman" w:cs="Times New Roman"/>
          <w:sz w:val="24"/>
          <w:szCs w:val="24"/>
        </w:rPr>
        <w:t xml:space="preserve">ind that the customary law principle of self-determination, </w:t>
      </w:r>
      <w:r w:rsidRPr="00805032">
        <w:rPr>
          <w:rFonts w:ascii="Times New Roman" w:hAnsi="Times New Roman" w:cs="Times New Roman"/>
          <w:sz w:val="24"/>
          <w:szCs w:val="24"/>
        </w:rPr>
        <w:t xml:space="preserve">the </w:t>
      </w:r>
      <w:r w:rsidRPr="00805032">
        <w:rPr>
          <w:rFonts w:ascii="Times New Roman" w:hAnsi="Times New Roman" w:cs="Times New Roman"/>
          <w:i/>
          <w:sz w:val="24"/>
          <w:szCs w:val="24"/>
        </w:rPr>
        <w:t>Declaration</w:t>
      </w:r>
      <w:r>
        <w:rPr>
          <w:rFonts w:ascii="Times New Roman" w:hAnsi="Times New Roman" w:cs="Times New Roman"/>
          <w:sz w:val="24"/>
          <w:szCs w:val="24"/>
        </w:rPr>
        <w:t>,</w:t>
      </w:r>
      <w:r w:rsidRPr="00805032">
        <w:rPr>
          <w:rFonts w:ascii="Times New Roman" w:hAnsi="Times New Roman" w:cs="Times New Roman"/>
          <w:sz w:val="24"/>
          <w:szCs w:val="24"/>
        </w:rPr>
        <w:t xml:space="preserve"> </w:t>
      </w:r>
      <w:r>
        <w:rPr>
          <w:rFonts w:ascii="Times New Roman" w:hAnsi="Times New Roman" w:cs="Times New Roman"/>
          <w:sz w:val="24"/>
          <w:szCs w:val="24"/>
        </w:rPr>
        <w:t>and other international commitments made by Canada</w:t>
      </w:r>
      <w:r w:rsidRPr="00805032">
        <w:rPr>
          <w:rFonts w:ascii="Times New Roman" w:hAnsi="Times New Roman" w:cs="Times New Roman"/>
          <w:sz w:val="24"/>
          <w:szCs w:val="24"/>
        </w:rPr>
        <w:t xml:space="preserve"> </w:t>
      </w:r>
      <w:r w:rsidRPr="00805032">
        <w:rPr>
          <w:rFonts w:ascii="Times New Roman" w:hAnsi="Times New Roman" w:cs="Times New Roman"/>
          <w:noProof/>
          <w:sz w:val="24"/>
          <w:szCs w:val="24"/>
        </w:rPr>
        <w:t xml:space="preserve">support </w:t>
      </w:r>
      <w:r>
        <w:rPr>
          <w:rFonts w:ascii="Times New Roman" w:hAnsi="Times New Roman" w:cs="Times New Roman"/>
          <w:noProof/>
          <w:sz w:val="24"/>
          <w:szCs w:val="24"/>
        </w:rPr>
        <w:t>a new interpretation of</w:t>
      </w:r>
      <w:r w:rsidRPr="00805032">
        <w:rPr>
          <w:rFonts w:ascii="Times New Roman" w:hAnsi="Times New Roman" w:cs="Times New Roman"/>
          <w:sz w:val="24"/>
          <w:szCs w:val="24"/>
        </w:rPr>
        <w:t xml:space="preserve"> s 91(24) that respects Indigenous self-determination.</w:t>
      </w:r>
    </w:p>
    <w:p w14:paraId="6CFCFDDE" w14:textId="7D8142E0" w:rsidR="00B47858" w:rsidRPr="000E4A14" w:rsidRDefault="00B47858" w:rsidP="00684B3E">
      <w:pPr>
        <w:jc w:val="both"/>
        <w:rPr>
          <w:rFonts w:ascii="Times New Roman" w:hAnsi="Times New Roman" w:cs="Times New Roman"/>
          <w:sz w:val="24"/>
          <w:szCs w:val="24"/>
        </w:rPr>
      </w:pPr>
    </w:p>
    <w:p w14:paraId="59325685" w14:textId="09FD18AB" w:rsidR="00B47858" w:rsidRPr="00F709EE" w:rsidRDefault="00B47858" w:rsidP="00F709EE">
      <w:pPr>
        <w:pStyle w:val="Heading1"/>
        <w:numPr>
          <w:ilvl w:val="0"/>
          <w:numId w:val="16"/>
        </w:numPr>
        <w:spacing w:after="200"/>
        <w:ind w:left="709" w:hanging="709"/>
        <w:rPr>
          <w:b w:val="0"/>
          <w:bCs/>
        </w:rPr>
      </w:pPr>
      <w:r w:rsidRPr="00F709EE">
        <w:rPr>
          <w:b w:val="0"/>
          <w:bCs/>
        </w:rPr>
        <w:t>Conclusion</w:t>
      </w:r>
    </w:p>
    <w:p w14:paraId="158CED7D" w14:textId="6EDDDB2E" w:rsidR="00B47858" w:rsidRPr="00383499" w:rsidRDefault="00B47858"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T</w:t>
      </w:r>
      <w:r w:rsidRPr="00383499">
        <w:rPr>
          <w:rFonts w:ascii="Times New Roman" w:hAnsi="Times New Roman" w:cs="Times New Roman"/>
          <w:sz w:val="24"/>
          <w:szCs w:val="24"/>
        </w:rPr>
        <w:t>he Indigenous people for whom the NIL/</w:t>
      </w:r>
      <w:proofErr w:type="gramStart"/>
      <w:r w:rsidRPr="00383499">
        <w:rPr>
          <w:rFonts w:ascii="Times New Roman" w:hAnsi="Times New Roman" w:cs="Times New Roman"/>
          <w:sz w:val="24"/>
          <w:szCs w:val="24"/>
        </w:rPr>
        <w:t>TU,O</w:t>
      </w:r>
      <w:proofErr w:type="gramEnd"/>
      <w:r w:rsidRPr="00383499">
        <w:rPr>
          <w:rFonts w:ascii="Times New Roman" w:hAnsi="Times New Roman" w:cs="Times New Roman"/>
          <w:sz w:val="24"/>
          <w:szCs w:val="24"/>
        </w:rPr>
        <w:t xml:space="preserve"> and Native Child agencies were created ought to have the </w:t>
      </w:r>
      <w:r w:rsidRPr="00090EEB">
        <w:rPr>
          <w:rFonts w:ascii="Times New Roman" w:hAnsi="Times New Roman" w:cs="Times New Roman"/>
          <w:i/>
          <w:sz w:val="24"/>
          <w:szCs w:val="24"/>
        </w:rPr>
        <w:t>right to choose</w:t>
      </w:r>
      <w:r w:rsidRPr="00383499">
        <w:rPr>
          <w:rFonts w:ascii="Times New Roman" w:hAnsi="Times New Roman" w:cs="Times New Roman"/>
          <w:sz w:val="24"/>
          <w:szCs w:val="24"/>
        </w:rPr>
        <w:t xml:space="preserve"> which labour relations regime should govern their employees</w:t>
      </w:r>
      <w:r>
        <w:rPr>
          <w:rFonts w:ascii="Times New Roman" w:hAnsi="Times New Roman" w:cs="Times New Roman"/>
          <w:sz w:val="24"/>
          <w:szCs w:val="24"/>
        </w:rPr>
        <w:t xml:space="preserve">.  This is the </w:t>
      </w:r>
      <w:r w:rsidRPr="0051658E">
        <w:rPr>
          <w:rFonts w:ascii="Times New Roman" w:hAnsi="Times New Roman" w:cs="Times New Roman"/>
          <w:i/>
          <w:sz w:val="24"/>
          <w:szCs w:val="24"/>
        </w:rPr>
        <w:t>minimum</w:t>
      </w:r>
      <w:r>
        <w:rPr>
          <w:rFonts w:ascii="Times New Roman" w:hAnsi="Times New Roman" w:cs="Times New Roman"/>
          <w:sz w:val="24"/>
          <w:szCs w:val="24"/>
        </w:rPr>
        <w:t xml:space="preserve"> right to which an interpretation of </w:t>
      </w:r>
      <w:r w:rsidR="002B4063">
        <w:rPr>
          <w:rFonts w:ascii="Times New Roman" w:hAnsi="Times New Roman" w:cs="Times New Roman"/>
          <w:sz w:val="24"/>
          <w:szCs w:val="24"/>
        </w:rPr>
        <w:t>s 91</w:t>
      </w:r>
      <w:r>
        <w:rPr>
          <w:rFonts w:ascii="Times New Roman" w:hAnsi="Times New Roman" w:cs="Times New Roman"/>
          <w:sz w:val="24"/>
          <w:szCs w:val="24"/>
        </w:rPr>
        <w:t xml:space="preserve">(24) that respects </w:t>
      </w:r>
      <w:r w:rsidRPr="00383499">
        <w:rPr>
          <w:rFonts w:ascii="Times New Roman" w:hAnsi="Times New Roman" w:cs="Times New Roman"/>
          <w:sz w:val="24"/>
          <w:szCs w:val="24"/>
        </w:rPr>
        <w:t>self-determination</w:t>
      </w:r>
      <w:r>
        <w:rPr>
          <w:rFonts w:ascii="Times New Roman" w:hAnsi="Times New Roman" w:cs="Times New Roman"/>
          <w:sz w:val="24"/>
          <w:szCs w:val="24"/>
        </w:rPr>
        <w:t xml:space="preserve"> entitles them</w:t>
      </w:r>
      <w:r w:rsidRPr="00383499">
        <w:rPr>
          <w:rFonts w:ascii="Times New Roman" w:hAnsi="Times New Roman" w:cs="Times New Roman"/>
          <w:sz w:val="24"/>
          <w:szCs w:val="24"/>
        </w:rPr>
        <w:t>.</w:t>
      </w:r>
      <w:r>
        <w:rPr>
          <w:rFonts w:ascii="Times New Roman" w:hAnsi="Times New Roman" w:cs="Times New Roman"/>
          <w:sz w:val="24"/>
          <w:szCs w:val="24"/>
        </w:rPr>
        <w:t xml:space="preserve">  </w:t>
      </w:r>
      <w:r w:rsidRPr="00383499">
        <w:rPr>
          <w:rFonts w:ascii="Times New Roman" w:hAnsi="Times New Roman" w:cs="Times New Roman"/>
          <w:sz w:val="24"/>
          <w:szCs w:val="24"/>
        </w:rPr>
        <w:t>For NIL/</w:t>
      </w:r>
      <w:proofErr w:type="gramStart"/>
      <w:r w:rsidRPr="00383499">
        <w:rPr>
          <w:rFonts w:ascii="Times New Roman" w:hAnsi="Times New Roman" w:cs="Times New Roman"/>
          <w:sz w:val="24"/>
          <w:szCs w:val="24"/>
        </w:rPr>
        <w:t>TU,O</w:t>
      </w:r>
      <w:proofErr w:type="gramEnd"/>
      <w:r w:rsidRPr="00383499">
        <w:rPr>
          <w:rFonts w:ascii="Times New Roman" w:hAnsi="Times New Roman" w:cs="Times New Roman"/>
          <w:sz w:val="24"/>
          <w:szCs w:val="24"/>
        </w:rPr>
        <w:t xml:space="preserve">, </w:t>
      </w:r>
      <w:r>
        <w:rPr>
          <w:rFonts w:ascii="Times New Roman" w:hAnsi="Times New Roman" w:cs="Times New Roman"/>
          <w:sz w:val="24"/>
          <w:szCs w:val="24"/>
        </w:rPr>
        <w:t>their choice is</w:t>
      </w:r>
      <w:r w:rsidRPr="00383499">
        <w:rPr>
          <w:rFonts w:ascii="Times New Roman" w:hAnsi="Times New Roman" w:cs="Times New Roman"/>
          <w:sz w:val="24"/>
          <w:szCs w:val="24"/>
        </w:rPr>
        <w:t xml:space="preserve"> the federal regime, and for Native Child, </w:t>
      </w:r>
      <w:r>
        <w:rPr>
          <w:rFonts w:ascii="Times New Roman" w:hAnsi="Times New Roman" w:cs="Times New Roman"/>
          <w:sz w:val="24"/>
          <w:szCs w:val="24"/>
        </w:rPr>
        <w:t xml:space="preserve">it is </w:t>
      </w:r>
      <w:r w:rsidRPr="00383499">
        <w:rPr>
          <w:rFonts w:ascii="Times New Roman" w:hAnsi="Times New Roman" w:cs="Times New Roman"/>
          <w:sz w:val="24"/>
          <w:szCs w:val="24"/>
        </w:rPr>
        <w:t>Ontario</w:t>
      </w:r>
      <w:r>
        <w:rPr>
          <w:rFonts w:ascii="Times New Roman" w:hAnsi="Times New Roman" w:cs="Times New Roman"/>
          <w:sz w:val="24"/>
          <w:szCs w:val="24"/>
        </w:rPr>
        <w:t>’s</w:t>
      </w:r>
      <w:r w:rsidRPr="00383499">
        <w:rPr>
          <w:rFonts w:ascii="Times New Roman" w:hAnsi="Times New Roman" w:cs="Times New Roman"/>
          <w:sz w:val="24"/>
          <w:szCs w:val="24"/>
        </w:rPr>
        <w:t xml:space="preserve"> regime.</w:t>
      </w:r>
    </w:p>
    <w:p w14:paraId="13648B09" w14:textId="77777777" w:rsidR="00B47858" w:rsidRDefault="00B47858" w:rsidP="00684B3E">
      <w:pPr>
        <w:pStyle w:val="ListParagraph"/>
        <w:ind w:left="0"/>
        <w:jc w:val="both"/>
        <w:rPr>
          <w:rFonts w:ascii="Times New Roman" w:hAnsi="Times New Roman" w:cs="Times New Roman"/>
          <w:sz w:val="24"/>
          <w:szCs w:val="24"/>
          <w:highlight w:val="yellow"/>
        </w:rPr>
      </w:pPr>
    </w:p>
    <w:p w14:paraId="06C1726B" w14:textId="6CBABC3B" w:rsidR="00B47858" w:rsidRDefault="00B47858" w:rsidP="00684B3E">
      <w:pPr>
        <w:pStyle w:val="ListParagraph"/>
        <w:numPr>
          <w:ilvl w:val="0"/>
          <w:numId w:val="1"/>
        </w:numPr>
        <w:ind w:left="0" w:firstLine="0"/>
        <w:jc w:val="both"/>
        <w:rPr>
          <w:rFonts w:ascii="Times New Roman" w:hAnsi="Times New Roman" w:cs="Times New Roman"/>
          <w:sz w:val="24"/>
          <w:szCs w:val="24"/>
        </w:rPr>
      </w:pPr>
      <w:r w:rsidRPr="00C356D2">
        <w:rPr>
          <w:rFonts w:ascii="Times New Roman" w:hAnsi="Times New Roman" w:cs="Times New Roman"/>
          <w:sz w:val="24"/>
          <w:szCs w:val="24"/>
        </w:rPr>
        <w:t>We emphasize that the right to self-determination also includes the right to choose a labour regime created pursuant to the exercise of self-government by Indigenous communities, where such regimes exist.  In the cases at bar, however, neither Indigenous agency asserted that the labour relations regime developed by their Indigenous governments should prevail (as neither had yet develop</w:t>
      </w:r>
      <w:r>
        <w:rPr>
          <w:rFonts w:ascii="Times New Roman" w:hAnsi="Times New Roman" w:cs="Times New Roman"/>
          <w:sz w:val="24"/>
          <w:szCs w:val="24"/>
        </w:rPr>
        <w:t>ed</w:t>
      </w:r>
      <w:r w:rsidRPr="00C356D2">
        <w:rPr>
          <w:rFonts w:ascii="Times New Roman" w:hAnsi="Times New Roman" w:cs="Times New Roman"/>
          <w:sz w:val="24"/>
          <w:szCs w:val="24"/>
        </w:rPr>
        <w:t xml:space="preserve"> such legal regimes).  </w:t>
      </w:r>
      <w:r>
        <w:rPr>
          <w:rFonts w:ascii="Times New Roman" w:hAnsi="Times New Roman" w:cs="Times New Roman"/>
          <w:sz w:val="24"/>
          <w:szCs w:val="24"/>
        </w:rPr>
        <w:t>This does</w:t>
      </w:r>
      <w:r w:rsidRPr="00C356D2">
        <w:rPr>
          <w:rFonts w:ascii="Times New Roman" w:hAnsi="Times New Roman" w:cs="Times New Roman"/>
          <w:sz w:val="24"/>
          <w:szCs w:val="24"/>
        </w:rPr>
        <w:t xml:space="preserve"> not preclude </w:t>
      </w:r>
      <w:r>
        <w:rPr>
          <w:rFonts w:ascii="Times New Roman" w:hAnsi="Times New Roman" w:cs="Times New Roman"/>
          <w:sz w:val="24"/>
          <w:szCs w:val="24"/>
        </w:rPr>
        <w:t xml:space="preserve">them </w:t>
      </w:r>
      <w:r w:rsidRPr="00C356D2">
        <w:rPr>
          <w:rFonts w:ascii="Times New Roman" w:hAnsi="Times New Roman" w:cs="Times New Roman"/>
          <w:sz w:val="24"/>
          <w:szCs w:val="24"/>
        </w:rPr>
        <w:t xml:space="preserve">from making such arguments at a later date when such regimes are in existence.  </w:t>
      </w:r>
    </w:p>
    <w:p w14:paraId="304E27A2" w14:textId="77777777" w:rsidR="00B47858" w:rsidRPr="00E242B0" w:rsidRDefault="00B47858" w:rsidP="00684B3E">
      <w:pPr>
        <w:pStyle w:val="ListParagraph"/>
        <w:rPr>
          <w:rFonts w:ascii="Times New Roman" w:hAnsi="Times New Roman" w:cs="Times New Roman"/>
          <w:sz w:val="24"/>
          <w:szCs w:val="24"/>
        </w:rPr>
      </w:pPr>
    </w:p>
    <w:p w14:paraId="2F00FED4" w14:textId="73657B8D" w:rsidR="00B47858" w:rsidRDefault="00B47858"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Further, we would add that, g</w:t>
      </w:r>
      <w:r w:rsidRPr="00C356D2">
        <w:rPr>
          <w:rFonts w:ascii="Times New Roman" w:hAnsi="Times New Roman" w:cs="Times New Roman"/>
          <w:sz w:val="24"/>
          <w:szCs w:val="24"/>
        </w:rPr>
        <w:t xml:space="preserve">iven the harm that the denial of Indigenous jurisdiction has caused </w:t>
      </w:r>
      <w:r>
        <w:rPr>
          <w:rFonts w:ascii="Times New Roman" w:hAnsi="Times New Roman" w:cs="Times New Roman"/>
          <w:sz w:val="24"/>
          <w:szCs w:val="24"/>
        </w:rPr>
        <w:t>to Indigenous peoples and that reconciliation mandates that such</w:t>
      </w:r>
      <w:r w:rsidRPr="00C356D2">
        <w:rPr>
          <w:rFonts w:ascii="Times New Roman" w:hAnsi="Times New Roman" w:cs="Times New Roman"/>
          <w:sz w:val="24"/>
          <w:szCs w:val="24"/>
        </w:rPr>
        <w:t xml:space="preserve"> harm</w:t>
      </w:r>
      <w:r>
        <w:rPr>
          <w:rFonts w:ascii="Times New Roman" w:hAnsi="Times New Roman" w:cs="Times New Roman"/>
          <w:sz w:val="24"/>
          <w:szCs w:val="24"/>
        </w:rPr>
        <w:t xml:space="preserve"> be atoned for and action be taken to change behaviour</w:t>
      </w:r>
      <w:r w:rsidRPr="00C356D2">
        <w:rPr>
          <w:rFonts w:ascii="Times New Roman" w:hAnsi="Times New Roman" w:cs="Times New Roman"/>
          <w:sz w:val="24"/>
          <w:szCs w:val="24"/>
        </w:rPr>
        <w:t xml:space="preserve">, federal and provincial governments </w:t>
      </w:r>
      <w:r>
        <w:rPr>
          <w:rFonts w:ascii="Times New Roman" w:hAnsi="Times New Roman" w:cs="Times New Roman"/>
          <w:sz w:val="24"/>
          <w:szCs w:val="24"/>
        </w:rPr>
        <w:t xml:space="preserve">therefore </w:t>
      </w:r>
      <w:r w:rsidRPr="00C356D2">
        <w:rPr>
          <w:rFonts w:ascii="Times New Roman" w:hAnsi="Times New Roman" w:cs="Times New Roman"/>
          <w:sz w:val="24"/>
          <w:szCs w:val="24"/>
        </w:rPr>
        <w:t xml:space="preserve">have responsibilities to support Indigenous peoples in the development and running of such regimes </w:t>
      </w:r>
      <w:r>
        <w:rPr>
          <w:rFonts w:ascii="Times New Roman" w:hAnsi="Times New Roman" w:cs="Times New Roman"/>
          <w:sz w:val="24"/>
          <w:szCs w:val="24"/>
        </w:rPr>
        <w:t>(</w:t>
      </w:r>
      <w:r w:rsidRPr="00C356D2">
        <w:rPr>
          <w:rFonts w:ascii="Times New Roman" w:hAnsi="Times New Roman" w:cs="Times New Roman"/>
          <w:sz w:val="24"/>
          <w:szCs w:val="24"/>
        </w:rPr>
        <w:t>if that is the aspiration of the Indigenous nation in question</w:t>
      </w:r>
      <w:r>
        <w:rPr>
          <w:rFonts w:ascii="Times New Roman" w:hAnsi="Times New Roman" w:cs="Times New Roman"/>
          <w:sz w:val="24"/>
          <w:szCs w:val="24"/>
        </w:rPr>
        <w:t>)</w:t>
      </w:r>
      <w:r w:rsidRPr="00C356D2">
        <w:rPr>
          <w:rFonts w:ascii="Times New Roman" w:hAnsi="Times New Roman" w:cs="Times New Roman"/>
          <w:sz w:val="24"/>
          <w:szCs w:val="24"/>
        </w:rPr>
        <w:t>.</w:t>
      </w:r>
      <w:r w:rsidR="00EA690D">
        <w:rPr>
          <w:rStyle w:val="FootnoteReference"/>
          <w:rFonts w:ascii="Times New Roman" w:hAnsi="Times New Roman" w:cs="Times New Roman"/>
          <w:sz w:val="24"/>
          <w:szCs w:val="24"/>
        </w:rPr>
        <w:footnoteReference w:id="94"/>
      </w:r>
      <w:r w:rsidRPr="00C356D2">
        <w:rPr>
          <w:rFonts w:ascii="Times New Roman" w:hAnsi="Times New Roman" w:cs="Times New Roman"/>
          <w:sz w:val="24"/>
          <w:szCs w:val="24"/>
        </w:rPr>
        <w:t xml:space="preserve">  This is also consistent with </w:t>
      </w:r>
      <w:r w:rsidR="00CE23F9">
        <w:rPr>
          <w:rFonts w:ascii="Times New Roman" w:hAnsi="Times New Roman" w:cs="Times New Roman"/>
          <w:sz w:val="24"/>
          <w:szCs w:val="24"/>
        </w:rPr>
        <w:t>Article</w:t>
      </w:r>
      <w:r w:rsidRPr="00C356D2">
        <w:rPr>
          <w:rFonts w:ascii="Times New Roman" w:hAnsi="Times New Roman" w:cs="Times New Roman"/>
          <w:sz w:val="24"/>
          <w:szCs w:val="24"/>
        </w:rPr>
        <w:t xml:space="preserve"> 4 of the </w:t>
      </w:r>
      <w:r w:rsidRPr="00C356D2">
        <w:rPr>
          <w:rFonts w:ascii="Times New Roman" w:hAnsi="Times New Roman" w:cs="Times New Roman"/>
          <w:i/>
          <w:sz w:val="24"/>
          <w:szCs w:val="24"/>
        </w:rPr>
        <w:t>Declaration</w:t>
      </w:r>
      <w:r w:rsidR="00CE23F9">
        <w:rPr>
          <w:rFonts w:ascii="Times New Roman" w:hAnsi="Times New Roman" w:cs="Times New Roman"/>
          <w:iCs/>
          <w:sz w:val="24"/>
          <w:szCs w:val="24"/>
        </w:rPr>
        <w:t>,</w:t>
      </w:r>
      <w:r w:rsidRPr="00C356D2">
        <w:rPr>
          <w:rFonts w:ascii="Times New Roman" w:hAnsi="Times New Roman" w:cs="Times New Roman"/>
          <w:sz w:val="24"/>
          <w:szCs w:val="24"/>
        </w:rPr>
        <w:t xml:space="preserve"> which states: “Indigenous peoples, in exercising their right to self-determination, have the right to autonomy or self-government in matters relating to their internal and local affairs, as well as ways and means for financing their autonomous functions.”   </w:t>
      </w:r>
      <w:r w:rsidR="00CE23F9">
        <w:rPr>
          <w:rFonts w:ascii="Times New Roman" w:hAnsi="Times New Roman" w:cs="Times New Roman"/>
          <w:sz w:val="24"/>
          <w:szCs w:val="24"/>
        </w:rPr>
        <w:t xml:space="preserve"> </w:t>
      </w:r>
    </w:p>
    <w:p w14:paraId="058514FA" w14:textId="77777777" w:rsidR="00B47858" w:rsidRDefault="00B47858" w:rsidP="00684B3E">
      <w:pPr>
        <w:pStyle w:val="ListParagraph"/>
        <w:ind w:left="0"/>
        <w:jc w:val="both"/>
        <w:rPr>
          <w:rFonts w:ascii="Times New Roman" w:hAnsi="Times New Roman" w:cs="Times New Roman"/>
          <w:sz w:val="24"/>
          <w:szCs w:val="24"/>
        </w:rPr>
      </w:pPr>
    </w:p>
    <w:p w14:paraId="74573EE5" w14:textId="614BFF77" w:rsidR="00B47858" w:rsidRPr="003E6050" w:rsidRDefault="00B47858" w:rsidP="00684B3E">
      <w:pPr>
        <w:pStyle w:val="ListParagraph"/>
        <w:numPr>
          <w:ilvl w:val="0"/>
          <w:numId w:val="1"/>
        </w:numPr>
        <w:ind w:left="0" w:firstLine="0"/>
        <w:jc w:val="both"/>
        <w:rPr>
          <w:rFonts w:ascii="Times New Roman" w:hAnsi="Times New Roman" w:cs="Times New Roman"/>
          <w:sz w:val="24"/>
          <w:szCs w:val="24"/>
        </w:rPr>
      </w:pPr>
      <w:r w:rsidRPr="00C356D2">
        <w:rPr>
          <w:rFonts w:ascii="Times New Roman" w:hAnsi="Times New Roman" w:cs="Times New Roman"/>
          <w:sz w:val="24"/>
          <w:szCs w:val="24"/>
        </w:rPr>
        <w:t xml:space="preserve"> </w:t>
      </w:r>
      <w:r w:rsidRPr="001E66A4">
        <w:rPr>
          <w:rFonts w:ascii="Times New Roman" w:hAnsi="Times New Roman" w:cs="Times New Roman"/>
          <w:sz w:val="24"/>
          <w:szCs w:val="24"/>
        </w:rPr>
        <w:t xml:space="preserve">We acknowledge that shifting our approach to </w:t>
      </w:r>
      <w:r w:rsidR="002B4063">
        <w:rPr>
          <w:rFonts w:ascii="Times New Roman" w:hAnsi="Times New Roman" w:cs="Times New Roman"/>
          <w:sz w:val="24"/>
          <w:szCs w:val="24"/>
        </w:rPr>
        <w:t>s 91</w:t>
      </w:r>
      <w:r w:rsidRPr="001E66A4">
        <w:rPr>
          <w:rFonts w:ascii="Times New Roman" w:hAnsi="Times New Roman" w:cs="Times New Roman"/>
          <w:sz w:val="24"/>
          <w:szCs w:val="24"/>
        </w:rPr>
        <w:t xml:space="preserve">(24) inevitably raises a number of questions, such as: What is the full extent of Indigenous peoples’ jurisdiction?  Do the limits on government power in the </w:t>
      </w:r>
      <w:r w:rsidRPr="001E66A4">
        <w:rPr>
          <w:rFonts w:ascii="Times New Roman" w:hAnsi="Times New Roman" w:cs="Times New Roman"/>
          <w:i/>
          <w:sz w:val="24"/>
          <w:szCs w:val="24"/>
        </w:rPr>
        <w:t xml:space="preserve">Charter </w:t>
      </w:r>
      <w:r w:rsidRPr="001E66A4">
        <w:rPr>
          <w:rFonts w:ascii="Times New Roman" w:hAnsi="Times New Roman" w:cs="Times New Roman"/>
          <w:sz w:val="24"/>
          <w:szCs w:val="24"/>
        </w:rPr>
        <w:t>apply to Indigenous law-making, or should other instruments (international law or Indigenous constitutions) supply the parameters between individual and collective rights? When is Indigenous jurisdiction exclusive and when it is concurrent with provincial or federal powers?  When there is concurrent jurisdiction, when will Indigenous law supersede provincial or federal laws and vice versa?  What legal test govern</w:t>
      </w:r>
      <w:r>
        <w:rPr>
          <w:rFonts w:ascii="Times New Roman" w:hAnsi="Times New Roman" w:cs="Times New Roman"/>
          <w:sz w:val="24"/>
          <w:szCs w:val="24"/>
        </w:rPr>
        <w:t>s</w:t>
      </w:r>
      <w:r w:rsidRPr="001E66A4">
        <w:rPr>
          <w:rFonts w:ascii="Times New Roman" w:hAnsi="Times New Roman" w:cs="Times New Roman"/>
          <w:sz w:val="24"/>
          <w:szCs w:val="24"/>
        </w:rPr>
        <w:t xml:space="preserve"> questions of </w:t>
      </w:r>
      <w:r w:rsidRPr="001E66A4">
        <w:rPr>
          <w:rFonts w:ascii="Times New Roman" w:hAnsi="Times New Roman" w:cs="Times New Roman"/>
          <w:sz w:val="24"/>
          <w:szCs w:val="24"/>
        </w:rPr>
        <w:lastRenderedPageBreak/>
        <w:t xml:space="preserve">‘conflicts’ between laws?  </w:t>
      </w:r>
      <w:r w:rsidRPr="003E6050">
        <w:rPr>
          <w:rFonts w:ascii="Times New Roman" w:hAnsi="Times New Roman" w:cs="Times New Roman"/>
          <w:sz w:val="24"/>
          <w:szCs w:val="24"/>
        </w:rPr>
        <w:t>Given our disposition in this case, it is not necessary for us to answer these questions.</w:t>
      </w:r>
    </w:p>
    <w:p w14:paraId="304A4A8A" w14:textId="77777777" w:rsidR="00B47858" w:rsidRPr="001E66A4" w:rsidRDefault="00B47858" w:rsidP="00684B3E">
      <w:pPr>
        <w:pStyle w:val="ListParagraph"/>
        <w:rPr>
          <w:rFonts w:ascii="Times New Roman" w:hAnsi="Times New Roman" w:cs="Times New Roman"/>
          <w:sz w:val="24"/>
          <w:szCs w:val="24"/>
        </w:rPr>
      </w:pPr>
    </w:p>
    <w:p w14:paraId="7E92D075" w14:textId="4AD0650D" w:rsidR="00FE5955" w:rsidRDefault="00B47858"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That said, we wish to emphasize that these varied and complex </w:t>
      </w:r>
      <w:r w:rsidRPr="001E66A4">
        <w:rPr>
          <w:rFonts w:ascii="Times New Roman" w:hAnsi="Times New Roman" w:cs="Times New Roman"/>
          <w:sz w:val="24"/>
          <w:szCs w:val="24"/>
        </w:rPr>
        <w:t>questions should not dissuade us from making this long</w:t>
      </w:r>
      <w:r>
        <w:rPr>
          <w:rFonts w:ascii="Times New Roman" w:hAnsi="Times New Roman" w:cs="Times New Roman"/>
          <w:sz w:val="24"/>
          <w:szCs w:val="24"/>
        </w:rPr>
        <w:t>-</w:t>
      </w:r>
      <w:r w:rsidRPr="001E66A4">
        <w:rPr>
          <w:rFonts w:ascii="Times New Roman" w:hAnsi="Times New Roman" w:cs="Times New Roman"/>
          <w:sz w:val="24"/>
          <w:szCs w:val="24"/>
        </w:rPr>
        <w:t xml:space="preserve">overdue change.  Judicial courage is required here.  We must remind ourselves that human beings have </w:t>
      </w:r>
      <w:r>
        <w:rPr>
          <w:rFonts w:ascii="Times New Roman" w:hAnsi="Times New Roman" w:cs="Times New Roman"/>
          <w:sz w:val="24"/>
          <w:szCs w:val="24"/>
        </w:rPr>
        <w:t xml:space="preserve">a </w:t>
      </w:r>
      <w:r w:rsidRPr="001E66A4">
        <w:rPr>
          <w:rFonts w:ascii="Times New Roman" w:hAnsi="Times New Roman" w:cs="Times New Roman"/>
          <w:sz w:val="24"/>
          <w:szCs w:val="24"/>
        </w:rPr>
        <w:t xml:space="preserve">remarkable capacity to adapt to changes in their societies.  In the same way that they adapted to same-sex marriage and Indigenous treaty rights to fish for a moderate livelihood, to give but </w:t>
      </w:r>
      <w:r>
        <w:rPr>
          <w:rFonts w:ascii="Times New Roman" w:hAnsi="Times New Roman" w:cs="Times New Roman"/>
          <w:sz w:val="24"/>
          <w:szCs w:val="24"/>
        </w:rPr>
        <w:t>two</w:t>
      </w:r>
      <w:r w:rsidRPr="001E66A4">
        <w:rPr>
          <w:rFonts w:ascii="Times New Roman" w:hAnsi="Times New Roman" w:cs="Times New Roman"/>
          <w:sz w:val="24"/>
          <w:szCs w:val="24"/>
        </w:rPr>
        <w:t xml:space="preserve"> examples, Canadians will adapt to the idea of Indigenous peoples as </w:t>
      </w:r>
      <w:r>
        <w:rPr>
          <w:rFonts w:ascii="Times New Roman" w:hAnsi="Times New Roman" w:cs="Times New Roman"/>
          <w:sz w:val="24"/>
          <w:szCs w:val="24"/>
        </w:rPr>
        <w:t>another</w:t>
      </w:r>
      <w:r w:rsidRPr="001E66A4">
        <w:rPr>
          <w:rFonts w:ascii="Times New Roman" w:hAnsi="Times New Roman" w:cs="Times New Roman"/>
          <w:sz w:val="24"/>
          <w:szCs w:val="24"/>
        </w:rPr>
        <w:t xml:space="preserve"> order of government with </w:t>
      </w:r>
      <w:r>
        <w:rPr>
          <w:rFonts w:ascii="Times New Roman" w:hAnsi="Times New Roman" w:cs="Times New Roman"/>
          <w:sz w:val="24"/>
          <w:szCs w:val="24"/>
        </w:rPr>
        <w:t xml:space="preserve">both the power to choose what laws will apply to them as well as </w:t>
      </w:r>
      <w:r w:rsidR="00684B3E">
        <w:rPr>
          <w:rFonts w:ascii="Times New Roman" w:hAnsi="Times New Roman" w:cs="Times New Roman"/>
          <w:sz w:val="24"/>
          <w:szCs w:val="24"/>
        </w:rPr>
        <w:t xml:space="preserve">the ability to exercise </w:t>
      </w:r>
      <w:r>
        <w:rPr>
          <w:rFonts w:ascii="Times New Roman" w:hAnsi="Times New Roman" w:cs="Times New Roman"/>
          <w:sz w:val="24"/>
          <w:szCs w:val="24"/>
        </w:rPr>
        <w:t xml:space="preserve">their </w:t>
      </w:r>
      <w:r w:rsidRPr="001E66A4">
        <w:rPr>
          <w:rFonts w:ascii="Times New Roman" w:hAnsi="Times New Roman" w:cs="Times New Roman"/>
          <w:sz w:val="24"/>
          <w:szCs w:val="24"/>
        </w:rPr>
        <w:t>inherent law</w:t>
      </w:r>
      <w:r>
        <w:rPr>
          <w:rFonts w:ascii="Times New Roman" w:hAnsi="Times New Roman" w:cs="Times New Roman"/>
          <w:sz w:val="24"/>
          <w:szCs w:val="24"/>
        </w:rPr>
        <w:t>-</w:t>
      </w:r>
      <w:r w:rsidRPr="001E66A4">
        <w:rPr>
          <w:rFonts w:ascii="Times New Roman" w:hAnsi="Times New Roman" w:cs="Times New Roman"/>
          <w:sz w:val="24"/>
          <w:szCs w:val="24"/>
        </w:rPr>
        <w:t xml:space="preserve">making powers.  In this regard, they can look to </w:t>
      </w:r>
      <w:r w:rsidR="00084BA3">
        <w:rPr>
          <w:rFonts w:ascii="Times New Roman" w:hAnsi="Times New Roman" w:cs="Times New Roman"/>
          <w:sz w:val="24"/>
          <w:szCs w:val="24"/>
        </w:rPr>
        <w:t>our</w:t>
      </w:r>
      <w:r w:rsidR="00084BA3" w:rsidRPr="001E66A4">
        <w:rPr>
          <w:rFonts w:ascii="Times New Roman" w:hAnsi="Times New Roman" w:cs="Times New Roman"/>
          <w:sz w:val="24"/>
          <w:szCs w:val="24"/>
        </w:rPr>
        <w:t xml:space="preserve"> </w:t>
      </w:r>
      <w:r w:rsidRPr="001E66A4">
        <w:rPr>
          <w:rFonts w:ascii="Times New Roman" w:hAnsi="Times New Roman" w:cs="Times New Roman"/>
          <w:sz w:val="24"/>
          <w:szCs w:val="24"/>
        </w:rPr>
        <w:t xml:space="preserve">neighbours to </w:t>
      </w:r>
      <w:r>
        <w:rPr>
          <w:rFonts w:ascii="Times New Roman" w:hAnsi="Times New Roman" w:cs="Times New Roman"/>
          <w:sz w:val="24"/>
          <w:szCs w:val="24"/>
        </w:rPr>
        <w:t xml:space="preserve">the </w:t>
      </w:r>
      <w:r w:rsidRPr="001E66A4">
        <w:rPr>
          <w:rFonts w:ascii="Times New Roman" w:hAnsi="Times New Roman" w:cs="Times New Roman"/>
          <w:sz w:val="24"/>
          <w:szCs w:val="24"/>
        </w:rPr>
        <w:t>south for reassurance.  Although not perfect, U.S. law has included much more robust recognition of Indigenou</w:t>
      </w:r>
      <w:r>
        <w:rPr>
          <w:rFonts w:ascii="Times New Roman" w:hAnsi="Times New Roman" w:cs="Times New Roman"/>
          <w:sz w:val="24"/>
          <w:szCs w:val="24"/>
        </w:rPr>
        <w:t>s peoples’ inherent right of self-determination</w:t>
      </w:r>
      <w:r w:rsidRPr="001E66A4">
        <w:rPr>
          <w:rFonts w:ascii="Times New Roman" w:hAnsi="Times New Roman" w:cs="Times New Roman"/>
          <w:sz w:val="24"/>
          <w:szCs w:val="24"/>
        </w:rPr>
        <w:t xml:space="preserve"> for many years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5"/>
      </w:r>
      <w:r w:rsidR="00EB4CF9">
        <w:rPr>
          <w:rFonts w:ascii="Times New Roman" w:hAnsi="Times New Roman" w:cs="Times New Roman"/>
          <w:sz w:val="24"/>
          <w:szCs w:val="24"/>
        </w:rPr>
        <w:t xml:space="preserve"> </w:t>
      </w:r>
    </w:p>
    <w:p w14:paraId="0446FB5A" w14:textId="77777777" w:rsidR="001E66A4" w:rsidRDefault="001E66A4" w:rsidP="00684B3E">
      <w:pPr>
        <w:pStyle w:val="ListParagraph"/>
        <w:ind w:left="0"/>
        <w:jc w:val="both"/>
        <w:rPr>
          <w:rFonts w:ascii="Times New Roman" w:hAnsi="Times New Roman" w:cs="Times New Roman"/>
          <w:sz w:val="24"/>
          <w:szCs w:val="24"/>
        </w:rPr>
      </w:pPr>
    </w:p>
    <w:p w14:paraId="5D8ADE9F" w14:textId="2B940914" w:rsidR="00040652" w:rsidRDefault="008924C9" w:rsidP="00684B3E">
      <w:pPr>
        <w:pStyle w:val="ListParagraph"/>
        <w:numPr>
          <w:ilvl w:val="0"/>
          <w:numId w:val="1"/>
        </w:numPr>
        <w:ind w:left="0" w:firstLine="0"/>
        <w:jc w:val="both"/>
        <w:rPr>
          <w:rFonts w:ascii="Times New Roman" w:hAnsi="Times New Roman" w:cs="Times New Roman"/>
          <w:sz w:val="24"/>
          <w:szCs w:val="24"/>
        </w:rPr>
      </w:pPr>
      <w:r w:rsidRPr="001E66A4">
        <w:rPr>
          <w:rFonts w:ascii="Times New Roman" w:hAnsi="Times New Roman" w:cs="Times New Roman"/>
          <w:sz w:val="24"/>
          <w:szCs w:val="24"/>
        </w:rPr>
        <w:t xml:space="preserve">Moreover, </w:t>
      </w:r>
      <w:r w:rsidR="00441FB5">
        <w:rPr>
          <w:rFonts w:ascii="Times New Roman" w:hAnsi="Times New Roman" w:cs="Times New Roman"/>
          <w:sz w:val="24"/>
          <w:szCs w:val="24"/>
        </w:rPr>
        <w:t>it is unnecessary to answer</w:t>
      </w:r>
      <w:r w:rsidR="00C759F9">
        <w:rPr>
          <w:rFonts w:ascii="Times New Roman" w:hAnsi="Times New Roman" w:cs="Times New Roman"/>
          <w:sz w:val="24"/>
          <w:szCs w:val="24"/>
        </w:rPr>
        <w:t xml:space="preserve"> </w:t>
      </w:r>
      <w:r w:rsidRPr="001E66A4">
        <w:rPr>
          <w:rFonts w:ascii="Times New Roman" w:hAnsi="Times New Roman" w:cs="Times New Roman"/>
          <w:sz w:val="24"/>
          <w:szCs w:val="24"/>
        </w:rPr>
        <w:t>these</w:t>
      </w:r>
      <w:r w:rsidR="0057380B" w:rsidRPr="001E66A4">
        <w:rPr>
          <w:rFonts w:ascii="Times New Roman" w:hAnsi="Times New Roman" w:cs="Times New Roman"/>
          <w:sz w:val="24"/>
          <w:szCs w:val="24"/>
        </w:rPr>
        <w:t xml:space="preserve"> questions all at once.  </w:t>
      </w:r>
      <w:r w:rsidR="00A87F4D" w:rsidRPr="001E66A4">
        <w:rPr>
          <w:rFonts w:ascii="Times New Roman" w:hAnsi="Times New Roman" w:cs="Times New Roman"/>
          <w:sz w:val="24"/>
          <w:szCs w:val="24"/>
        </w:rPr>
        <w:t xml:space="preserve">Like the development of </w:t>
      </w:r>
      <w:r w:rsidR="00312860">
        <w:rPr>
          <w:rFonts w:ascii="Times New Roman" w:hAnsi="Times New Roman" w:cs="Times New Roman"/>
          <w:sz w:val="24"/>
          <w:szCs w:val="24"/>
        </w:rPr>
        <w:t>other</w:t>
      </w:r>
      <w:r w:rsidR="00A87F4D" w:rsidRPr="001E66A4">
        <w:rPr>
          <w:rFonts w:ascii="Times New Roman" w:hAnsi="Times New Roman" w:cs="Times New Roman"/>
          <w:sz w:val="24"/>
          <w:szCs w:val="24"/>
        </w:rPr>
        <w:t xml:space="preserve"> constitutional doctrines, a</w:t>
      </w:r>
      <w:r w:rsidR="0057380B" w:rsidRPr="001E66A4">
        <w:rPr>
          <w:rFonts w:ascii="Times New Roman" w:hAnsi="Times New Roman" w:cs="Times New Roman"/>
          <w:sz w:val="24"/>
          <w:szCs w:val="24"/>
        </w:rPr>
        <w:t xml:space="preserve"> body of law </w:t>
      </w:r>
      <w:r w:rsidR="00A87F4D" w:rsidRPr="001E66A4">
        <w:rPr>
          <w:rFonts w:ascii="Times New Roman" w:hAnsi="Times New Roman" w:cs="Times New Roman"/>
          <w:sz w:val="24"/>
          <w:szCs w:val="24"/>
        </w:rPr>
        <w:t xml:space="preserve">on these issues </w:t>
      </w:r>
      <w:r w:rsidR="0057380B" w:rsidRPr="001E66A4">
        <w:rPr>
          <w:rFonts w:ascii="Times New Roman" w:hAnsi="Times New Roman" w:cs="Times New Roman"/>
          <w:sz w:val="24"/>
          <w:szCs w:val="24"/>
        </w:rPr>
        <w:t>can be developed over time</w:t>
      </w:r>
      <w:r w:rsidR="00A87F4D" w:rsidRPr="001E66A4">
        <w:rPr>
          <w:rFonts w:ascii="Times New Roman" w:hAnsi="Times New Roman" w:cs="Times New Roman"/>
          <w:sz w:val="24"/>
          <w:szCs w:val="24"/>
        </w:rPr>
        <w:t xml:space="preserve"> as cases are heard by the courts</w:t>
      </w:r>
      <w:r w:rsidR="0057380B" w:rsidRPr="001E66A4">
        <w:rPr>
          <w:rFonts w:ascii="Times New Roman" w:hAnsi="Times New Roman" w:cs="Times New Roman"/>
          <w:sz w:val="24"/>
          <w:szCs w:val="24"/>
        </w:rPr>
        <w:t>.</w:t>
      </w:r>
      <w:r w:rsidR="00A87F4D" w:rsidRPr="001E66A4">
        <w:rPr>
          <w:rFonts w:ascii="Times New Roman" w:hAnsi="Times New Roman" w:cs="Times New Roman"/>
          <w:sz w:val="24"/>
          <w:szCs w:val="24"/>
        </w:rPr>
        <w:t xml:space="preserve">  </w:t>
      </w:r>
      <w:r w:rsidR="0057380B" w:rsidRPr="001E66A4">
        <w:rPr>
          <w:rFonts w:ascii="Times New Roman" w:hAnsi="Times New Roman" w:cs="Times New Roman"/>
          <w:sz w:val="24"/>
          <w:szCs w:val="24"/>
        </w:rPr>
        <w:t xml:space="preserve"> </w:t>
      </w:r>
    </w:p>
    <w:p w14:paraId="365C0424" w14:textId="77777777" w:rsidR="00040652" w:rsidRPr="00040652" w:rsidRDefault="00040652" w:rsidP="00684B3E">
      <w:pPr>
        <w:pStyle w:val="ListParagraph"/>
        <w:rPr>
          <w:rFonts w:ascii="Times New Roman" w:hAnsi="Times New Roman" w:cs="Times New Roman"/>
          <w:sz w:val="24"/>
          <w:szCs w:val="24"/>
        </w:rPr>
      </w:pPr>
    </w:p>
    <w:p w14:paraId="5EE5BB1B" w14:textId="5D39FA21" w:rsidR="00040652" w:rsidRPr="00040652" w:rsidRDefault="00FF0EBF" w:rsidP="00684B3E">
      <w:pPr>
        <w:pStyle w:val="ListParagraph"/>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In the </w:t>
      </w:r>
      <w:r w:rsidR="00040652" w:rsidRPr="00040652">
        <w:rPr>
          <w:rFonts w:ascii="Times New Roman" w:hAnsi="Times New Roman" w:cs="Times New Roman"/>
          <w:sz w:val="24"/>
          <w:szCs w:val="24"/>
        </w:rPr>
        <w:t>NIL/</w:t>
      </w:r>
      <w:proofErr w:type="gramStart"/>
      <w:r w:rsidR="00040652" w:rsidRPr="00040652">
        <w:rPr>
          <w:rFonts w:ascii="Times New Roman" w:hAnsi="Times New Roman" w:cs="Times New Roman"/>
          <w:sz w:val="24"/>
          <w:szCs w:val="24"/>
        </w:rPr>
        <w:t>TU,O</w:t>
      </w:r>
      <w:proofErr w:type="gramEnd"/>
      <w:r w:rsidR="00040652" w:rsidRPr="00040652">
        <w:rPr>
          <w:rFonts w:ascii="Times New Roman" w:hAnsi="Times New Roman" w:cs="Times New Roman"/>
          <w:sz w:val="24"/>
          <w:szCs w:val="24"/>
        </w:rPr>
        <w:t xml:space="preserve"> </w:t>
      </w:r>
      <w:r>
        <w:rPr>
          <w:rFonts w:ascii="Times New Roman" w:hAnsi="Times New Roman" w:cs="Times New Roman"/>
          <w:sz w:val="24"/>
          <w:szCs w:val="24"/>
        </w:rPr>
        <w:t xml:space="preserve">appeal, we find </w:t>
      </w:r>
      <w:r w:rsidR="00BB49F4">
        <w:rPr>
          <w:rFonts w:ascii="Times New Roman" w:hAnsi="Times New Roman" w:cs="Times New Roman"/>
          <w:sz w:val="24"/>
          <w:szCs w:val="24"/>
        </w:rPr>
        <w:t xml:space="preserve">that </w:t>
      </w:r>
      <w:r w:rsidR="00040652" w:rsidRPr="00040652">
        <w:rPr>
          <w:rFonts w:ascii="Times New Roman" w:hAnsi="Times New Roman" w:cs="Times New Roman"/>
          <w:sz w:val="24"/>
          <w:szCs w:val="24"/>
        </w:rPr>
        <w:t>the British Columbia Labour Relations Board does not have jurisdiction over NIL/TU,</w:t>
      </w:r>
      <w:r w:rsidR="00C22E1A">
        <w:rPr>
          <w:rFonts w:ascii="Times New Roman" w:hAnsi="Times New Roman" w:cs="Times New Roman"/>
          <w:sz w:val="24"/>
          <w:szCs w:val="24"/>
        </w:rPr>
        <w:t>O labour relations because NIL/T</w:t>
      </w:r>
      <w:r w:rsidR="00040652" w:rsidRPr="00040652">
        <w:rPr>
          <w:rFonts w:ascii="Times New Roman" w:hAnsi="Times New Roman" w:cs="Times New Roman"/>
          <w:sz w:val="24"/>
          <w:szCs w:val="24"/>
        </w:rPr>
        <w:t>U,O has not consented t</w:t>
      </w:r>
      <w:r w:rsidR="00BB49F4">
        <w:rPr>
          <w:rFonts w:ascii="Times New Roman" w:hAnsi="Times New Roman" w:cs="Times New Roman"/>
          <w:sz w:val="24"/>
          <w:szCs w:val="24"/>
        </w:rPr>
        <w:t xml:space="preserve">o the Board having </w:t>
      </w:r>
      <w:proofErr w:type="spellStart"/>
      <w:r w:rsidR="00BB49F4">
        <w:rPr>
          <w:rFonts w:ascii="Times New Roman" w:hAnsi="Times New Roman" w:cs="Times New Roman"/>
          <w:sz w:val="24"/>
          <w:szCs w:val="24"/>
        </w:rPr>
        <w:t>jurisdidtion</w:t>
      </w:r>
      <w:proofErr w:type="spellEnd"/>
      <w:r w:rsidR="00BB49F4">
        <w:rPr>
          <w:rFonts w:ascii="Times New Roman" w:hAnsi="Times New Roman" w:cs="Times New Roman"/>
          <w:sz w:val="24"/>
          <w:szCs w:val="24"/>
        </w:rPr>
        <w:t>.</w:t>
      </w:r>
      <w:r w:rsidR="004476E5">
        <w:rPr>
          <w:rFonts w:ascii="Times New Roman" w:hAnsi="Times New Roman" w:cs="Times New Roman"/>
          <w:sz w:val="24"/>
          <w:szCs w:val="24"/>
        </w:rPr>
        <w:t xml:space="preserve"> </w:t>
      </w:r>
      <w:r w:rsidR="003F1939">
        <w:rPr>
          <w:rFonts w:ascii="Times New Roman" w:hAnsi="Times New Roman" w:cs="Times New Roman"/>
          <w:sz w:val="24"/>
          <w:szCs w:val="24"/>
        </w:rPr>
        <w:t xml:space="preserve"> </w:t>
      </w:r>
      <w:r w:rsidR="00040652" w:rsidRPr="00040652">
        <w:rPr>
          <w:rFonts w:ascii="Times New Roman" w:hAnsi="Times New Roman" w:cs="Times New Roman"/>
          <w:sz w:val="24"/>
          <w:szCs w:val="24"/>
        </w:rPr>
        <w:t xml:space="preserve">Likewise, </w:t>
      </w:r>
      <w:r w:rsidR="003F1939">
        <w:rPr>
          <w:rFonts w:ascii="Times New Roman" w:hAnsi="Times New Roman" w:cs="Times New Roman"/>
          <w:sz w:val="24"/>
          <w:szCs w:val="24"/>
        </w:rPr>
        <w:t xml:space="preserve">in the Native Child appeal, we find </w:t>
      </w:r>
      <w:r w:rsidR="002A641A">
        <w:rPr>
          <w:rFonts w:ascii="Times New Roman" w:hAnsi="Times New Roman" w:cs="Times New Roman"/>
          <w:sz w:val="24"/>
          <w:szCs w:val="24"/>
        </w:rPr>
        <w:t xml:space="preserve">that </w:t>
      </w:r>
      <w:r w:rsidR="00040652" w:rsidRPr="00040652">
        <w:rPr>
          <w:rFonts w:ascii="Times New Roman" w:hAnsi="Times New Roman" w:cs="Times New Roman"/>
          <w:sz w:val="24"/>
          <w:szCs w:val="24"/>
        </w:rPr>
        <w:t>the Canada Industrial Relations Board does not have jurisdiction because Native Child has not consente</w:t>
      </w:r>
      <w:r w:rsidR="003F1939">
        <w:rPr>
          <w:rFonts w:ascii="Times New Roman" w:hAnsi="Times New Roman" w:cs="Times New Roman"/>
          <w:sz w:val="24"/>
          <w:szCs w:val="24"/>
        </w:rPr>
        <w:t xml:space="preserve">d to its jurisdiction.  </w:t>
      </w:r>
      <w:r w:rsidR="00040652" w:rsidRPr="00040652">
        <w:rPr>
          <w:rFonts w:ascii="Times New Roman" w:hAnsi="Times New Roman" w:cs="Times New Roman"/>
          <w:sz w:val="24"/>
          <w:szCs w:val="24"/>
        </w:rPr>
        <w:t xml:space="preserve">In each case, the Indigenous child agencies can choose which labour regime they want to be governed by until </w:t>
      </w:r>
      <w:r w:rsidR="00C22E1A">
        <w:rPr>
          <w:rFonts w:ascii="Times New Roman" w:hAnsi="Times New Roman" w:cs="Times New Roman"/>
          <w:sz w:val="24"/>
          <w:szCs w:val="24"/>
        </w:rPr>
        <w:t xml:space="preserve">such as time as </w:t>
      </w:r>
      <w:r w:rsidR="00040652" w:rsidRPr="00040652">
        <w:rPr>
          <w:rFonts w:ascii="Times New Roman" w:hAnsi="Times New Roman" w:cs="Times New Roman"/>
          <w:sz w:val="24"/>
          <w:szCs w:val="24"/>
        </w:rPr>
        <w:t>they develop their own.</w:t>
      </w:r>
    </w:p>
    <w:p w14:paraId="5F6C3E8A" w14:textId="77777777" w:rsidR="00C356D2" w:rsidRDefault="00C356D2" w:rsidP="00684B3E">
      <w:pPr>
        <w:jc w:val="both"/>
        <w:rPr>
          <w:rFonts w:ascii="Times New Roman" w:hAnsi="Times New Roman" w:cs="Times New Roman"/>
          <w:sz w:val="24"/>
          <w:szCs w:val="24"/>
        </w:rPr>
      </w:pPr>
    </w:p>
    <w:p w14:paraId="6F31E9D2" w14:textId="2E6F6CB7" w:rsidR="009F0FB0" w:rsidRDefault="0002121E" w:rsidP="00684B3E">
      <w:pPr>
        <w:jc w:val="right"/>
        <w:rPr>
          <w:rFonts w:ascii="Times New Roman" w:hAnsi="Times New Roman" w:cs="Times New Roman"/>
          <w:sz w:val="24"/>
          <w:szCs w:val="24"/>
        </w:rPr>
      </w:pPr>
      <w:r>
        <w:rPr>
          <w:rFonts w:ascii="Times New Roman" w:hAnsi="Times New Roman" w:cs="Times New Roman"/>
          <w:i/>
          <w:sz w:val="24"/>
          <w:szCs w:val="24"/>
        </w:rPr>
        <w:t>Appeals allowed</w:t>
      </w:r>
      <w:r w:rsidR="00D6412A">
        <w:rPr>
          <w:rFonts w:ascii="Times New Roman" w:hAnsi="Times New Roman" w:cs="Times New Roman"/>
          <w:i/>
          <w:sz w:val="24"/>
          <w:szCs w:val="24"/>
        </w:rPr>
        <w:t xml:space="preserve"> with costs throughout</w:t>
      </w:r>
      <w:r w:rsidR="00C356D2">
        <w:rPr>
          <w:rFonts w:ascii="Times New Roman" w:hAnsi="Times New Roman" w:cs="Times New Roman"/>
          <w:i/>
          <w:sz w:val="24"/>
          <w:szCs w:val="24"/>
        </w:rPr>
        <w:t>.</w:t>
      </w:r>
      <w:r w:rsidR="004A223A">
        <w:rPr>
          <w:rFonts w:ascii="Times New Roman" w:hAnsi="Times New Roman" w:cs="Times New Roman"/>
          <w:sz w:val="24"/>
          <w:szCs w:val="24"/>
        </w:rPr>
        <w:t xml:space="preserve">   </w:t>
      </w:r>
      <w:r w:rsidR="004279C4">
        <w:rPr>
          <w:rFonts w:ascii="Times New Roman" w:hAnsi="Times New Roman" w:cs="Times New Roman"/>
          <w:sz w:val="24"/>
          <w:szCs w:val="24"/>
        </w:rPr>
        <w:t xml:space="preserve"> </w:t>
      </w:r>
    </w:p>
    <w:p w14:paraId="75EB6873" w14:textId="77777777" w:rsidR="00F709EE" w:rsidRDefault="00F709EE" w:rsidP="00684B3E">
      <w:pPr>
        <w:rPr>
          <w:rFonts w:ascii="Times New Roman" w:hAnsi="Times New Roman" w:cs="Times New Roman"/>
          <w:i/>
          <w:sz w:val="24"/>
          <w:szCs w:val="24"/>
        </w:rPr>
      </w:pPr>
    </w:p>
    <w:p w14:paraId="3E3DCAEB" w14:textId="77777777" w:rsidR="00F709EE" w:rsidRDefault="00F709EE" w:rsidP="00684B3E">
      <w:pPr>
        <w:rPr>
          <w:rFonts w:ascii="Times New Roman" w:hAnsi="Times New Roman" w:cs="Times New Roman"/>
          <w:i/>
          <w:sz w:val="24"/>
          <w:szCs w:val="24"/>
        </w:rPr>
      </w:pPr>
    </w:p>
    <w:p w14:paraId="508E7219" w14:textId="77777777" w:rsidR="00F709EE" w:rsidRDefault="00F709EE" w:rsidP="00684B3E">
      <w:pPr>
        <w:rPr>
          <w:rFonts w:ascii="Times New Roman" w:hAnsi="Times New Roman" w:cs="Times New Roman"/>
          <w:i/>
          <w:sz w:val="24"/>
          <w:szCs w:val="24"/>
        </w:rPr>
      </w:pPr>
    </w:p>
    <w:p w14:paraId="0A9B8205" w14:textId="1FF970F7" w:rsidR="00093C7F" w:rsidRPr="005021E9" w:rsidRDefault="00093C7F" w:rsidP="00684B3E">
      <w:pPr>
        <w:rPr>
          <w:rFonts w:ascii="Times New Roman" w:hAnsi="Times New Roman" w:cs="Times New Roman"/>
          <w:b/>
          <w:bCs/>
          <w:iCs/>
          <w:sz w:val="24"/>
          <w:szCs w:val="24"/>
        </w:rPr>
      </w:pPr>
      <w:r w:rsidRPr="005021E9">
        <w:rPr>
          <w:rFonts w:ascii="Times New Roman" w:hAnsi="Times New Roman" w:cs="Times New Roman"/>
          <w:b/>
          <w:bCs/>
          <w:iCs/>
          <w:sz w:val="24"/>
          <w:szCs w:val="24"/>
        </w:rPr>
        <w:t>Index to Subject Matter</w:t>
      </w:r>
      <w:r w:rsidR="005021E9">
        <w:rPr>
          <w:rFonts w:ascii="Times New Roman" w:hAnsi="Times New Roman" w:cs="Times New Roman"/>
          <w:b/>
          <w:bCs/>
          <w:iCs/>
          <w:sz w:val="24"/>
          <w:szCs w:val="24"/>
        </w:rPr>
        <w:t>:</w:t>
      </w:r>
    </w:p>
    <w:p w14:paraId="0AD7B59D" w14:textId="77777777" w:rsidR="00093C7F" w:rsidRDefault="00093C7F" w:rsidP="00684B3E">
      <w:pPr>
        <w:rPr>
          <w:rFonts w:ascii="Times New Roman" w:hAnsi="Times New Roman" w:cs="Times New Roman"/>
          <w:sz w:val="24"/>
          <w:szCs w:val="24"/>
        </w:rPr>
      </w:pPr>
    </w:p>
    <w:p w14:paraId="105EF991" w14:textId="41B3AE11" w:rsidR="00093C7F" w:rsidRPr="00B103F5" w:rsidRDefault="00A004E1" w:rsidP="00684B3E">
      <w:pPr>
        <w:rPr>
          <w:rFonts w:ascii="Times New Roman" w:hAnsi="Times New Roman" w:cs="Times New Roman"/>
          <w:b/>
          <w:sz w:val="24"/>
          <w:szCs w:val="24"/>
        </w:rPr>
      </w:pPr>
      <w:r w:rsidRPr="00B103F5">
        <w:rPr>
          <w:rFonts w:ascii="Times New Roman" w:hAnsi="Times New Roman" w:cs="Times New Roman"/>
          <w:b/>
          <w:sz w:val="24"/>
          <w:szCs w:val="24"/>
        </w:rPr>
        <w:t>CONSTITUTION ACT, 1867</w:t>
      </w:r>
    </w:p>
    <w:p w14:paraId="2698E5A0" w14:textId="03BC15CF" w:rsidR="00093C7F" w:rsidRDefault="00093C7F" w:rsidP="00684B3E">
      <w:pPr>
        <w:rPr>
          <w:rFonts w:ascii="Times New Roman" w:hAnsi="Times New Roman" w:cs="Times New Roman"/>
          <w:sz w:val="24"/>
          <w:szCs w:val="24"/>
        </w:rPr>
      </w:pPr>
      <w:r>
        <w:rPr>
          <w:rFonts w:ascii="Times New Roman" w:hAnsi="Times New Roman" w:cs="Times New Roman"/>
          <w:sz w:val="24"/>
          <w:szCs w:val="24"/>
        </w:rPr>
        <w:t>Indigenous context modifies division of powers analysis</w:t>
      </w:r>
      <w:r w:rsidRPr="00B103F5">
        <w:rPr>
          <w:rFonts w:ascii="Times New Roman" w:hAnsi="Times New Roman" w:cs="Times New Roman"/>
          <w:sz w:val="24"/>
          <w:szCs w:val="24"/>
        </w:rPr>
        <w:t xml:space="preserve"> – Indigenous peoples have right to choose which laws apply to them – Division of powers must be read consistent with constitutional principles and values – Divisions of powers must accommodate Indigenous self-determination</w:t>
      </w:r>
    </w:p>
    <w:p w14:paraId="34C8768E" w14:textId="0E5ADC35" w:rsidR="00F709EE" w:rsidRPr="00F709EE" w:rsidRDefault="00F709EE" w:rsidP="00F709EE">
      <w:pPr>
        <w:spacing w:line="259" w:lineRule="auto"/>
        <w:ind w:left="2160" w:firstLine="720"/>
        <w:jc w:val="both"/>
        <w:rPr>
          <w:rFonts w:ascii="Times New Roman" w:eastAsia="Calibri" w:hAnsi="Times New Roman" w:cs="Times New Roman"/>
          <w:sz w:val="24"/>
          <w:szCs w:val="24"/>
        </w:rPr>
      </w:pPr>
      <w:r w:rsidRPr="00F709EE">
        <w:rPr>
          <w:rFonts w:ascii="Times New Roman" w:eastAsia="Calibri" w:hAnsi="Times New Roman" w:cs="Times New Roman"/>
          <w:sz w:val="24"/>
          <w:szCs w:val="24"/>
        </w:rPr>
        <w:t>NIL/</w:t>
      </w:r>
      <w:proofErr w:type="gramStart"/>
      <w:r w:rsidRPr="00F709EE">
        <w:rPr>
          <w:rFonts w:ascii="Times New Roman" w:eastAsia="Calibri" w:hAnsi="Times New Roman" w:cs="Times New Roman"/>
          <w:sz w:val="24"/>
          <w:szCs w:val="24"/>
        </w:rPr>
        <w:t>TU,O</w:t>
      </w:r>
      <w:proofErr w:type="gramEnd"/>
      <w:r w:rsidRPr="00F709EE">
        <w:rPr>
          <w:rFonts w:ascii="Times New Roman" w:eastAsia="Calibri" w:hAnsi="Times New Roman" w:cs="Times New Roman"/>
          <w:sz w:val="24"/>
          <w:szCs w:val="24"/>
        </w:rPr>
        <w:t xml:space="preserve"> and Native Child v BCGSEU and CCEPUC…(I</w:t>
      </w:r>
      <w:r w:rsidR="003F2499">
        <w:rPr>
          <w:rFonts w:ascii="Times New Roman" w:eastAsia="Calibri" w:hAnsi="Times New Roman" w:cs="Times New Roman"/>
          <w:sz w:val="24"/>
          <w:szCs w:val="24"/>
        </w:rPr>
        <w:t>N</w:t>
      </w:r>
      <w:r w:rsidRPr="00F709EE">
        <w:rPr>
          <w:rFonts w:ascii="Times New Roman" w:eastAsia="Calibri" w:hAnsi="Times New Roman" w:cs="Times New Roman"/>
          <w:sz w:val="24"/>
          <w:szCs w:val="24"/>
        </w:rPr>
        <w:t>C)     32</w:t>
      </w:r>
    </w:p>
    <w:p w14:paraId="21A635CB" w14:textId="48673638" w:rsidR="00093C7F" w:rsidRPr="00B103F5" w:rsidRDefault="00A004E1" w:rsidP="00684B3E">
      <w:pPr>
        <w:rPr>
          <w:rFonts w:ascii="Times New Roman" w:hAnsi="Times New Roman" w:cs="Times New Roman"/>
          <w:b/>
          <w:sz w:val="24"/>
          <w:szCs w:val="24"/>
        </w:rPr>
      </w:pPr>
      <w:r w:rsidRPr="00B103F5">
        <w:rPr>
          <w:rFonts w:ascii="Times New Roman" w:hAnsi="Times New Roman" w:cs="Times New Roman"/>
          <w:b/>
          <w:sz w:val="24"/>
          <w:szCs w:val="24"/>
        </w:rPr>
        <w:t>CHILD WELFARE</w:t>
      </w:r>
    </w:p>
    <w:p w14:paraId="006A63E6" w14:textId="619D48D0" w:rsidR="00093C7F" w:rsidRDefault="00093C7F" w:rsidP="00684B3E">
      <w:pPr>
        <w:rPr>
          <w:rFonts w:ascii="Times New Roman" w:hAnsi="Times New Roman" w:cs="Times New Roman"/>
          <w:sz w:val="24"/>
          <w:szCs w:val="24"/>
        </w:rPr>
      </w:pPr>
      <w:r w:rsidRPr="00B103F5">
        <w:rPr>
          <w:rFonts w:ascii="Times New Roman" w:hAnsi="Times New Roman" w:cs="Times New Roman"/>
          <w:sz w:val="24"/>
          <w:szCs w:val="24"/>
        </w:rPr>
        <w:t>Interjurisdictional disputes over responsibility for Indigenous child welfare has caused harm to Indigenous children and families – The imposition of provincial child welfare laws on Indigenous peoples is discriminatory</w:t>
      </w:r>
    </w:p>
    <w:p w14:paraId="44B1B768" w14:textId="4EBEA1D0" w:rsidR="00F709EE" w:rsidRPr="00F709EE" w:rsidRDefault="00F709EE" w:rsidP="00F709EE">
      <w:pPr>
        <w:spacing w:line="259" w:lineRule="auto"/>
        <w:ind w:left="2160" w:firstLine="720"/>
        <w:jc w:val="both"/>
        <w:rPr>
          <w:rFonts w:ascii="Times New Roman" w:eastAsia="Calibri" w:hAnsi="Times New Roman" w:cs="Times New Roman"/>
          <w:sz w:val="24"/>
          <w:szCs w:val="24"/>
        </w:rPr>
      </w:pPr>
      <w:r w:rsidRPr="00F709EE">
        <w:rPr>
          <w:rFonts w:ascii="Times New Roman" w:eastAsia="Calibri" w:hAnsi="Times New Roman" w:cs="Times New Roman"/>
          <w:sz w:val="24"/>
          <w:szCs w:val="24"/>
        </w:rPr>
        <w:lastRenderedPageBreak/>
        <w:t>NIL/</w:t>
      </w:r>
      <w:proofErr w:type="gramStart"/>
      <w:r w:rsidRPr="00F709EE">
        <w:rPr>
          <w:rFonts w:ascii="Times New Roman" w:eastAsia="Calibri" w:hAnsi="Times New Roman" w:cs="Times New Roman"/>
          <w:sz w:val="24"/>
          <w:szCs w:val="24"/>
        </w:rPr>
        <w:t>TU,O</w:t>
      </w:r>
      <w:proofErr w:type="gramEnd"/>
      <w:r w:rsidRPr="00F709EE">
        <w:rPr>
          <w:rFonts w:ascii="Times New Roman" w:eastAsia="Calibri" w:hAnsi="Times New Roman" w:cs="Times New Roman"/>
          <w:sz w:val="24"/>
          <w:szCs w:val="24"/>
        </w:rPr>
        <w:t xml:space="preserve"> and Native Child v BCGSEU and CCEPUC…(I</w:t>
      </w:r>
      <w:r w:rsidR="003F2499">
        <w:rPr>
          <w:rFonts w:ascii="Times New Roman" w:eastAsia="Calibri" w:hAnsi="Times New Roman" w:cs="Times New Roman"/>
          <w:sz w:val="24"/>
          <w:szCs w:val="24"/>
        </w:rPr>
        <w:t>N</w:t>
      </w:r>
      <w:r w:rsidRPr="00F709EE">
        <w:rPr>
          <w:rFonts w:ascii="Times New Roman" w:eastAsia="Calibri" w:hAnsi="Times New Roman" w:cs="Times New Roman"/>
          <w:sz w:val="24"/>
          <w:szCs w:val="24"/>
        </w:rPr>
        <w:t>C)     32</w:t>
      </w:r>
    </w:p>
    <w:p w14:paraId="4E750695" w14:textId="2B8228B2" w:rsidR="00093C7F" w:rsidRPr="00B103F5" w:rsidRDefault="00A004E1" w:rsidP="00684B3E">
      <w:pPr>
        <w:rPr>
          <w:rFonts w:ascii="Times New Roman" w:hAnsi="Times New Roman" w:cs="Times New Roman"/>
          <w:b/>
          <w:sz w:val="24"/>
          <w:szCs w:val="24"/>
        </w:rPr>
      </w:pPr>
      <w:r w:rsidRPr="00B103F5">
        <w:rPr>
          <w:rFonts w:ascii="Times New Roman" w:hAnsi="Times New Roman" w:cs="Times New Roman"/>
          <w:b/>
          <w:sz w:val="24"/>
          <w:szCs w:val="24"/>
        </w:rPr>
        <w:t>GOVERNANCE</w:t>
      </w:r>
    </w:p>
    <w:p w14:paraId="7A8A6FAC" w14:textId="69FF509E" w:rsidR="00093C7F" w:rsidRDefault="00093C7F" w:rsidP="00684B3E">
      <w:pPr>
        <w:rPr>
          <w:rFonts w:ascii="Times New Roman" w:hAnsi="Times New Roman" w:cs="Times New Roman"/>
          <w:sz w:val="24"/>
          <w:szCs w:val="24"/>
        </w:rPr>
      </w:pPr>
      <w:r w:rsidRPr="00B103F5">
        <w:rPr>
          <w:rFonts w:ascii="Times New Roman" w:hAnsi="Times New Roman" w:cs="Times New Roman"/>
          <w:sz w:val="24"/>
          <w:szCs w:val="24"/>
        </w:rPr>
        <w:t xml:space="preserve">Indigenous peoples have </w:t>
      </w:r>
      <w:r w:rsidR="003D4EA1">
        <w:rPr>
          <w:rFonts w:ascii="Times New Roman" w:hAnsi="Times New Roman" w:cs="Times New Roman"/>
          <w:sz w:val="24"/>
          <w:szCs w:val="24"/>
        </w:rPr>
        <w:t xml:space="preserve">the </w:t>
      </w:r>
      <w:r w:rsidRPr="00B103F5">
        <w:rPr>
          <w:rFonts w:ascii="Times New Roman" w:hAnsi="Times New Roman" w:cs="Times New Roman"/>
          <w:sz w:val="24"/>
          <w:szCs w:val="24"/>
        </w:rPr>
        <w:t xml:space="preserve">right to self-determination, including </w:t>
      </w:r>
      <w:r w:rsidR="003D4EA1">
        <w:rPr>
          <w:rFonts w:ascii="Times New Roman" w:hAnsi="Times New Roman" w:cs="Times New Roman"/>
          <w:sz w:val="24"/>
          <w:szCs w:val="24"/>
        </w:rPr>
        <w:t xml:space="preserve">the </w:t>
      </w:r>
      <w:r w:rsidRPr="00B103F5">
        <w:rPr>
          <w:rFonts w:ascii="Times New Roman" w:hAnsi="Times New Roman" w:cs="Times New Roman"/>
          <w:sz w:val="24"/>
          <w:szCs w:val="24"/>
        </w:rPr>
        <w:t>right to self-government – Self-determination includes the right to consent to the application of provincial or federal laws or to create Indigenous laws</w:t>
      </w:r>
    </w:p>
    <w:p w14:paraId="503F32FB" w14:textId="02528A20" w:rsidR="00F709EE" w:rsidRPr="00F709EE" w:rsidRDefault="00F709EE" w:rsidP="00F709EE">
      <w:pPr>
        <w:spacing w:line="259" w:lineRule="auto"/>
        <w:ind w:left="2160" w:firstLine="720"/>
        <w:jc w:val="both"/>
        <w:rPr>
          <w:rFonts w:ascii="Times New Roman" w:eastAsia="Calibri" w:hAnsi="Times New Roman" w:cs="Times New Roman"/>
          <w:sz w:val="24"/>
          <w:szCs w:val="24"/>
        </w:rPr>
      </w:pPr>
      <w:r w:rsidRPr="00F709EE">
        <w:rPr>
          <w:rFonts w:ascii="Times New Roman" w:eastAsia="Calibri" w:hAnsi="Times New Roman" w:cs="Times New Roman"/>
          <w:sz w:val="24"/>
          <w:szCs w:val="24"/>
        </w:rPr>
        <w:t>NIL/</w:t>
      </w:r>
      <w:proofErr w:type="gramStart"/>
      <w:r w:rsidRPr="00F709EE">
        <w:rPr>
          <w:rFonts w:ascii="Times New Roman" w:eastAsia="Calibri" w:hAnsi="Times New Roman" w:cs="Times New Roman"/>
          <w:sz w:val="24"/>
          <w:szCs w:val="24"/>
        </w:rPr>
        <w:t>TU,O</w:t>
      </w:r>
      <w:proofErr w:type="gramEnd"/>
      <w:r w:rsidRPr="00F709EE">
        <w:rPr>
          <w:rFonts w:ascii="Times New Roman" w:eastAsia="Calibri" w:hAnsi="Times New Roman" w:cs="Times New Roman"/>
          <w:sz w:val="24"/>
          <w:szCs w:val="24"/>
        </w:rPr>
        <w:t xml:space="preserve"> and Native Child v BCGSEU and CCEPUC…(I</w:t>
      </w:r>
      <w:r w:rsidR="003F2499">
        <w:rPr>
          <w:rFonts w:ascii="Times New Roman" w:eastAsia="Calibri" w:hAnsi="Times New Roman" w:cs="Times New Roman"/>
          <w:sz w:val="24"/>
          <w:szCs w:val="24"/>
        </w:rPr>
        <w:t>N</w:t>
      </w:r>
      <w:r w:rsidRPr="00F709EE">
        <w:rPr>
          <w:rFonts w:ascii="Times New Roman" w:eastAsia="Calibri" w:hAnsi="Times New Roman" w:cs="Times New Roman"/>
          <w:sz w:val="24"/>
          <w:szCs w:val="24"/>
        </w:rPr>
        <w:t>C)     32</w:t>
      </w:r>
    </w:p>
    <w:p w14:paraId="238C0CA5" w14:textId="4D79C3FA" w:rsidR="00093C7F" w:rsidRPr="00B103F5" w:rsidRDefault="00A004E1" w:rsidP="00684B3E">
      <w:pPr>
        <w:rPr>
          <w:rFonts w:ascii="Times New Roman" w:hAnsi="Times New Roman" w:cs="Times New Roman"/>
          <w:b/>
          <w:sz w:val="24"/>
          <w:szCs w:val="24"/>
        </w:rPr>
      </w:pPr>
      <w:r w:rsidRPr="00B103F5">
        <w:rPr>
          <w:rFonts w:ascii="Times New Roman" w:hAnsi="Times New Roman" w:cs="Times New Roman"/>
          <w:b/>
          <w:sz w:val="24"/>
          <w:szCs w:val="24"/>
        </w:rPr>
        <w:t>INTERPRETATION</w:t>
      </w:r>
    </w:p>
    <w:p w14:paraId="4ECDD81A" w14:textId="02C49D50" w:rsidR="00093C7F" w:rsidRDefault="003D4EA1" w:rsidP="00684B3E">
      <w:pPr>
        <w:rPr>
          <w:rFonts w:ascii="Times New Roman" w:hAnsi="Times New Roman" w:cs="Times New Roman"/>
          <w:sz w:val="24"/>
          <w:szCs w:val="24"/>
        </w:rPr>
      </w:pPr>
      <w:r>
        <w:rPr>
          <w:rFonts w:ascii="Times New Roman" w:hAnsi="Times New Roman" w:cs="Times New Roman"/>
          <w:sz w:val="24"/>
          <w:szCs w:val="24"/>
        </w:rPr>
        <w:t xml:space="preserve">The </w:t>
      </w:r>
      <w:r w:rsidR="00093C7F" w:rsidRPr="00B103F5">
        <w:rPr>
          <w:rFonts w:ascii="Times New Roman" w:hAnsi="Times New Roman" w:cs="Times New Roman"/>
          <w:sz w:val="24"/>
          <w:szCs w:val="24"/>
        </w:rPr>
        <w:t xml:space="preserve">Constitution must be </w:t>
      </w:r>
      <w:r>
        <w:rPr>
          <w:rFonts w:ascii="Times New Roman" w:hAnsi="Times New Roman" w:cs="Times New Roman"/>
          <w:sz w:val="24"/>
          <w:szCs w:val="24"/>
        </w:rPr>
        <w:t>given a</w:t>
      </w:r>
      <w:r w:rsidRPr="00B103F5">
        <w:rPr>
          <w:rFonts w:ascii="Times New Roman" w:hAnsi="Times New Roman" w:cs="Times New Roman"/>
          <w:sz w:val="24"/>
          <w:szCs w:val="24"/>
        </w:rPr>
        <w:t xml:space="preserve"> </w:t>
      </w:r>
      <w:r w:rsidR="00093C7F" w:rsidRPr="00B103F5">
        <w:rPr>
          <w:rFonts w:ascii="Times New Roman" w:hAnsi="Times New Roman" w:cs="Times New Roman"/>
          <w:sz w:val="24"/>
          <w:szCs w:val="24"/>
        </w:rPr>
        <w:t xml:space="preserve">‘living tree’ interpretation – </w:t>
      </w:r>
      <w:r w:rsidR="00684B3E">
        <w:rPr>
          <w:rFonts w:ascii="Times New Roman" w:hAnsi="Times New Roman" w:cs="Times New Roman"/>
          <w:sz w:val="24"/>
          <w:szCs w:val="24"/>
        </w:rPr>
        <w:t xml:space="preserve">The </w:t>
      </w:r>
      <w:r w:rsidR="00093C7F" w:rsidRPr="00D00D2F">
        <w:rPr>
          <w:rFonts w:ascii="Times New Roman" w:hAnsi="Times New Roman" w:cs="Times New Roman"/>
          <w:sz w:val="24"/>
          <w:szCs w:val="24"/>
        </w:rPr>
        <w:t xml:space="preserve">Constitution </w:t>
      </w:r>
      <w:r w:rsidR="00684B3E" w:rsidRPr="00D00D2F">
        <w:rPr>
          <w:rFonts w:ascii="Times New Roman" w:hAnsi="Times New Roman" w:cs="Times New Roman"/>
          <w:sz w:val="24"/>
          <w:szCs w:val="24"/>
        </w:rPr>
        <w:t xml:space="preserve">Act, </w:t>
      </w:r>
      <w:r w:rsidR="00093C7F" w:rsidRPr="00D00D2F">
        <w:rPr>
          <w:rFonts w:ascii="Times New Roman" w:hAnsi="Times New Roman" w:cs="Times New Roman"/>
          <w:sz w:val="24"/>
          <w:szCs w:val="24"/>
        </w:rPr>
        <w:t xml:space="preserve">1867 </w:t>
      </w:r>
      <w:r w:rsidR="00093C7F" w:rsidRPr="00B103F5">
        <w:rPr>
          <w:rFonts w:ascii="Times New Roman" w:hAnsi="Times New Roman" w:cs="Times New Roman"/>
          <w:sz w:val="24"/>
          <w:szCs w:val="24"/>
        </w:rPr>
        <w:t xml:space="preserve">must be interpreted in conformity with the </w:t>
      </w:r>
      <w:r w:rsidR="00093C7F" w:rsidRPr="00D00D2F">
        <w:rPr>
          <w:rFonts w:ascii="Times New Roman" w:hAnsi="Times New Roman" w:cs="Times New Roman"/>
          <w:iCs/>
          <w:sz w:val="24"/>
          <w:szCs w:val="24"/>
        </w:rPr>
        <w:t>Charter</w:t>
      </w:r>
      <w:r w:rsidR="00093C7F" w:rsidRPr="00B103F5">
        <w:rPr>
          <w:rFonts w:ascii="Times New Roman" w:hAnsi="Times New Roman" w:cs="Times New Roman"/>
          <w:sz w:val="24"/>
          <w:szCs w:val="24"/>
        </w:rPr>
        <w:t>, Reconciliation, the Honour of the Crown</w:t>
      </w:r>
      <w:r>
        <w:rPr>
          <w:rFonts w:ascii="Times New Roman" w:hAnsi="Times New Roman" w:cs="Times New Roman"/>
          <w:sz w:val="24"/>
          <w:szCs w:val="24"/>
        </w:rPr>
        <w:t>,</w:t>
      </w:r>
      <w:r w:rsidR="00093C7F" w:rsidRPr="00B103F5">
        <w:rPr>
          <w:rFonts w:ascii="Times New Roman" w:hAnsi="Times New Roman" w:cs="Times New Roman"/>
          <w:sz w:val="24"/>
          <w:szCs w:val="24"/>
        </w:rPr>
        <w:t xml:space="preserve"> and unwritten constitutional principles</w:t>
      </w:r>
    </w:p>
    <w:p w14:paraId="23233B25" w14:textId="1EAE79AE" w:rsidR="00F709EE" w:rsidRPr="00F709EE" w:rsidRDefault="00F709EE" w:rsidP="00F709EE">
      <w:pPr>
        <w:spacing w:line="259" w:lineRule="auto"/>
        <w:ind w:left="2160" w:firstLine="720"/>
        <w:jc w:val="both"/>
        <w:rPr>
          <w:rFonts w:ascii="Times New Roman" w:eastAsia="Calibri" w:hAnsi="Times New Roman" w:cs="Times New Roman"/>
          <w:sz w:val="24"/>
          <w:szCs w:val="24"/>
        </w:rPr>
      </w:pPr>
      <w:r w:rsidRPr="00F709EE">
        <w:rPr>
          <w:rFonts w:ascii="Times New Roman" w:eastAsia="Calibri" w:hAnsi="Times New Roman" w:cs="Times New Roman"/>
          <w:sz w:val="24"/>
          <w:szCs w:val="24"/>
        </w:rPr>
        <w:t>NIL/</w:t>
      </w:r>
      <w:proofErr w:type="gramStart"/>
      <w:r w:rsidRPr="00F709EE">
        <w:rPr>
          <w:rFonts w:ascii="Times New Roman" w:eastAsia="Calibri" w:hAnsi="Times New Roman" w:cs="Times New Roman"/>
          <w:sz w:val="24"/>
          <w:szCs w:val="24"/>
        </w:rPr>
        <w:t>TU,O</w:t>
      </w:r>
      <w:proofErr w:type="gramEnd"/>
      <w:r w:rsidRPr="00F709EE">
        <w:rPr>
          <w:rFonts w:ascii="Times New Roman" w:eastAsia="Calibri" w:hAnsi="Times New Roman" w:cs="Times New Roman"/>
          <w:sz w:val="24"/>
          <w:szCs w:val="24"/>
        </w:rPr>
        <w:t xml:space="preserve"> and Native Child v BCGSEU and CCEPUC…(I</w:t>
      </w:r>
      <w:r w:rsidR="003F2499">
        <w:rPr>
          <w:rFonts w:ascii="Times New Roman" w:eastAsia="Calibri" w:hAnsi="Times New Roman" w:cs="Times New Roman"/>
          <w:sz w:val="24"/>
          <w:szCs w:val="24"/>
        </w:rPr>
        <w:t>N</w:t>
      </w:r>
      <w:r w:rsidRPr="00F709EE">
        <w:rPr>
          <w:rFonts w:ascii="Times New Roman" w:eastAsia="Calibri" w:hAnsi="Times New Roman" w:cs="Times New Roman"/>
          <w:sz w:val="24"/>
          <w:szCs w:val="24"/>
        </w:rPr>
        <w:t>C)     32</w:t>
      </w:r>
    </w:p>
    <w:p w14:paraId="332C2A6F" w14:textId="5CF82934" w:rsidR="00093C7F" w:rsidRPr="00B103F5" w:rsidRDefault="00A004E1" w:rsidP="00684B3E">
      <w:pPr>
        <w:rPr>
          <w:rFonts w:ascii="Times New Roman" w:hAnsi="Times New Roman" w:cs="Times New Roman"/>
          <w:b/>
          <w:sz w:val="24"/>
          <w:szCs w:val="24"/>
        </w:rPr>
      </w:pPr>
      <w:r w:rsidRPr="00B103F5">
        <w:rPr>
          <w:rFonts w:ascii="Times New Roman" w:hAnsi="Times New Roman" w:cs="Times New Roman"/>
          <w:b/>
          <w:sz w:val="24"/>
          <w:szCs w:val="24"/>
        </w:rPr>
        <w:t>INTERNATIONAL LAW</w:t>
      </w:r>
    </w:p>
    <w:p w14:paraId="4064B060" w14:textId="3BAEEC55" w:rsidR="00093C7F" w:rsidRDefault="00093C7F" w:rsidP="00684B3E">
      <w:pPr>
        <w:rPr>
          <w:rFonts w:ascii="Times New Roman" w:hAnsi="Times New Roman" w:cs="Times New Roman"/>
          <w:sz w:val="24"/>
          <w:szCs w:val="24"/>
        </w:rPr>
      </w:pPr>
      <w:r w:rsidRPr="00B103F5">
        <w:rPr>
          <w:rFonts w:ascii="Times New Roman" w:hAnsi="Times New Roman" w:cs="Times New Roman"/>
          <w:sz w:val="24"/>
          <w:szCs w:val="24"/>
        </w:rPr>
        <w:t>The United Nations Declaration on the Rights of Indigenous Peoples applies in Canada – Based on Canada’s policy commitment to follow it and the Honour of the Crown – Based on the Presumption of Conformity</w:t>
      </w:r>
    </w:p>
    <w:p w14:paraId="55146576" w14:textId="267EC4FB" w:rsidR="00F709EE" w:rsidRPr="00F709EE" w:rsidRDefault="00F709EE" w:rsidP="00F709EE">
      <w:pPr>
        <w:spacing w:line="259" w:lineRule="auto"/>
        <w:ind w:left="2160" w:firstLine="720"/>
        <w:jc w:val="both"/>
        <w:rPr>
          <w:rFonts w:ascii="Times New Roman" w:eastAsia="Calibri" w:hAnsi="Times New Roman" w:cs="Times New Roman"/>
          <w:sz w:val="24"/>
          <w:szCs w:val="24"/>
        </w:rPr>
      </w:pPr>
      <w:r w:rsidRPr="00F709EE">
        <w:rPr>
          <w:rFonts w:ascii="Times New Roman" w:eastAsia="Calibri" w:hAnsi="Times New Roman" w:cs="Times New Roman"/>
          <w:sz w:val="24"/>
          <w:szCs w:val="24"/>
        </w:rPr>
        <w:t>NIL/</w:t>
      </w:r>
      <w:proofErr w:type="gramStart"/>
      <w:r w:rsidRPr="00F709EE">
        <w:rPr>
          <w:rFonts w:ascii="Times New Roman" w:eastAsia="Calibri" w:hAnsi="Times New Roman" w:cs="Times New Roman"/>
          <w:sz w:val="24"/>
          <w:szCs w:val="24"/>
        </w:rPr>
        <w:t>TU,O</w:t>
      </w:r>
      <w:proofErr w:type="gramEnd"/>
      <w:r w:rsidRPr="00F709EE">
        <w:rPr>
          <w:rFonts w:ascii="Times New Roman" w:eastAsia="Calibri" w:hAnsi="Times New Roman" w:cs="Times New Roman"/>
          <w:sz w:val="24"/>
          <w:szCs w:val="24"/>
        </w:rPr>
        <w:t xml:space="preserve"> and Native Child v BCGSEU and CCEPUC…(I</w:t>
      </w:r>
      <w:r w:rsidR="003F2499">
        <w:rPr>
          <w:rFonts w:ascii="Times New Roman" w:eastAsia="Calibri" w:hAnsi="Times New Roman" w:cs="Times New Roman"/>
          <w:sz w:val="24"/>
          <w:szCs w:val="24"/>
        </w:rPr>
        <w:t>N</w:t>
      </w:r>
      <w:r w:rsidRPr="00F709EE">
        <w:rPr>
          <w:rFonts w:ascii="Times New Roman" w:eastAsia="Calibri" w:hAnsi="Times New Roman" w:cs="Times New Roman"/>
          <w:sz w:val="24"/>
          <w:szCs w:val="24"/>
        </w:rPr>
        <w:t>C)     32</w:t>
      </w:r>
    </w:p>
    <w:p w14:paraId="227A1D30" w14:textId="70429918" w:rsidR="00093C7F" w:rsidRPr="00B103F5" w:rsidRDefault="00A004E1" w:rsidP="00684B3E">
      <w:pPr>
        <w:rPr>
          <w:rFonts w:ascii="Times New Roman" w:hAnsi="Times New Roman" w:cs="Times New Roman"/>
          <w:b/>
          <w:sz w:val="24"/>
          <w:szCs w:val="24"/>
        </w:rPr>
      </w:pPr>
      <w:r w:rsidRPr="00B103F5">
        <w:rPr>
          <w:rFonts w:ascii="Times New Roman" w:hAnsi="Times New Roman" w:cs="Times New Roman"/>
          <w:b/>
          <w:sz w:val="24"/>
          <w:szCs w:val="24"/>
        </w:rPr>
        <w:t>LABOUR RELATIONS</w:t>
      </w:r>
    </w:p>
    <w:p w14:paraId="41BE88F6" w14:textId="77C1BD9E" w:rsidR="00093C7F" w:rsidRDefault="00093C7F" w:rsidP="00684B3E">
      <w:pPr>
        <w:rPr>
          <w:rFonts w:ascii="Times New Roman" w:hAnsi="Times New Roman" w:cs="Times New Roman"/>
          <w:sz w:val="24"/>
          <w:szCs w:val="24"/>
        </w:rPr>
      </w:pPr>
      <w:r w:rsidRPr="005021E9">
        <w:rPr>
          <w:rFonts w:ascii="Times New Roman" w:hAnsi="Times New Roman" w:cs="Times New Roman"/>
          <w:sz w:val="24"/>
          <w:szCs w:val="24"/>
        </w:rPr>
        <w:t xml:space="preserve">The imposition of labour relations regimes on Indigenous governments without their consent is discriminatory and creates </w:t>
      </w:r>
      <w:r w:rsidR="00684B3E" w:rsidRPr="005021E9">
        <w:rPr>
          <w:rFonts w:ascii="Times New Roman" w:hAnsi="Times New Roman" w:cs="Times New Roman"/>
          <w:sz w:val="24"/>
          <w:szCs w:val="24"/>
        </w:rPr>
        <w:t>the practice of having inconsistent rules applying across one Indigenous organization</w:t>
      </w:r>
    </w:p>
    <w:p w14:paraId="7D26F3F7" w14:textId="68579092" w:rsidR="005021E9" w:rsidRDefault="005021E9" w:rsidP="005021E9">
      <w:pPr>
        <w:spacing w:line="259" w:lineRule="auto"/>
        <w:ind w:left="2160" w:firstLine="720"/>
        <w:jc w:val="both"/>
        <w:rPr>
          <w:rFonts w:ascii="Times New Roman" w:eastAsia="Calibri" w:hAnsi="Times New Roman" w:cs="Times New Roman"/>
          <w:sz w:val="24"/>
          <w:szCs w:val="24"/>
        </w:rPr>
      </w:pPr>
      <w:r w:rsidRPr="00F709EE">
        <w:rPr>
          <w:rFonts w:ascii="Times New Roman" w:eastAsia="Calibri" w:hAnsi="Times New Roman" w:cs="Times New Roman"/>
          <w:sz w:val="24"/>
          <w:szCs w:val="24"/>
        </w:rPr>
        <w:t>NIL/</w:t>
      </w:r>
      <w:proofErr w:type="gramStart"/>
      <w:r w:rsidRPr="00F709EE">
        <w:rPr>
          <w:rFonts w:ascii="Times New Roman" w:eastAsia="Calibri" w:hAnsi="Times New Roman" w:cs="Times New Roman"/>
          <w:sz w:val="24"/>
          <w:szCs w:val="24"/>
        </w:rPr>
        <w:t>TU,O</w:t>
      </w:r>
      <w:proofErr w:type="gramEnd"/>
      <w:r w:rsidRPr="00F709EE">
        <w:rPr>
          <w:rFonts w:ascii="Times New Roman" w:eastAsia="Calibri" w:hAnsi="Times New Roman" w:cs="Times New Roman"/>
          <w:sz w:val="24"/>
          <w:szCs w:val="24"/>
        </w:rPr>
        <w:t xml:space="preserve"> and Native Child v BCGSEU and CCEPUC…(I</w:t>
      </w:r>
      <w:r w:rsidR="003F2499">
        <w:rPr>
          <w:rFonts w:ascii="Times New Roman" w:eastAsia="Calibri" w:hAnsi="Times New Roman" w:cs="Times New Roman"/>
          <w:sz w:val="24"/>
          <w:szCs w:val="24"/>
        </w:rPr>
        <w:t>N</w:t>
      </w:r>
      <w:r w:rsidRPr="00F709EE">
        <w:rPr>
          <w:rFonts w:ascii="Times New Roman" w:eastAsia="Calibri" w:hAnsi="Times New Roman" w:cs="Times New Roman"/>
          <w:sz w:val="24"/>
          <w:szCs w:val="24"/>
        </w:rPr>
        <w:t>C)     32</w:t>
      </w:r>
    </w:p>
    <w:p w14:paraId="4317AEFB" w14:textId="77777777" w:rsidR="005021E9" w:rsidRPr="00F709EE" w:rsidRDefault="005021E9" w:rsidP="005021E9">
      <w:pPr>
        <w:spacing w:line="259" w:lineRule="auto"/>
        <w:jc w:val="both"/>
        <w:rPr>
          <w:rFonts w:ascii="Times New Roman" w:eastAsia="Calibri" w:hAnsi="Times New Roman" w:cs="Times New Roman"/>
          <w:sz w:val="24"/>
          <w:szCs w:val="24"/>
        </w:rPr>
      </w:pPr>
    </w:p>
    <w:sectPr w:rsidR="005021E9" w:rsidRPr="00F709EE" w:rsidSect="003774CD">
      <w:headerReference w:type="default" r:id="rId11"/>
      <w:footerReference w:type="default" r:id="rId12"/>
      <w:endnotePr>
        <w:numFmt w:val="decimal"/>
      </w:endnotePr>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D5A59" w14:textId="77777777" w:rsidR="0020184A" w:rsidRDefault="0020184A" w:rsidP="009C5A37">
      <w:r>
        <w:separator/>
      </w:r>
    </w:p>
    <w:p w14:paraId="65EFC6E5" w14:textId="77777777" w:rsidR="0020184A" w:rsidRDefault="0020184A"/>
  </w:endnote>
  <w:endnote w:type="continuationSeparator" w:id="0">
    <w:p w14:paraId="47DD0D38" w14:textId="77777777" w:rsidR="0020184A" w:rsidRDefault="0020184A" w:rsidP="009C5A37">
      <w:r>
        <w:continuationSeparator/>
      </w:r>
    </w:p>
    <w:p w14:paraId="0650FCA8" w14:textId="77777777" w:rsidR="0020184A" w:rsidRDefault="00201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720594"/>
      <w:docPartObj>
        <w:docPartGallery w:val="Page Numbers (Bottom of Page)"/>
        <w:docPartUnique/>
      </w:docPartObj>
    </w:sdtPr>
    <w:sdtEndPr>
      <w:rPr>
        <w:noProof/>
      </w:rPr>
    </w:sdtEndPr>
    <w:sdtContent>
      <w:p w14:paraId="0327FC63" w14:textId="5CA11B1A" w:rsidR="0083324D" w:rsidRDefault="0083324D">
        <w:pPr>
          <w:pStyle w:val="Footer"/>
          <w:jc w:val="right"/>
        </w:pPr>
        <w:r>
          <w:fldChar w:fldCharType="begin"/>
        </w:r>
        <w:r>
          <w:instrText xml:space="preserve"> PAGE   \* MERGEFORMAT </w:instrText>
        </w:r>
        <w:r>
          <w:fldChar w:fldCharType="separate"/>
        </w:r>
        <w:r w:rsidR="005821F3">
          <w:rPr>
            <w:noProof/>
          </w:rPr>
          <w:t>2</w:t>
        </w:r>
        <w:r>
          <w:rPr>
            <w:noProof/>
          </w:rPr>
          <w:fldChar w:fldCharType="end"/>
        </w:r>
      </w:p>
    </w:sdtContent>
  </w:sdt>
  <w:p w14:paraId="3FA8CB9B" w14:textId="77777777" w:rsidR="0083324D" w:rsidRDefault="0083324D">
    <w:pPr>
      <w:pStyle w:val="Footer"/>
    </w:pPr>
  </w:p>
  <w:p w14:paraId="745691CC" w14:textId="77777777" w:rsidR="0083324D" w:rsidRDefault="008332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6E49F" w14:textId="77777777" w:rsidR="0020184A" w:rsidRDefault="0020184A" w:rsidP="009C5A37">
      <w:r>
        <w:separator/>
      </w:r>
    </w:p>
    <w:p w14:paraId="782DACFB" w14:textId="77777777" w:rsidR="0020184A" w:rsidRDefault="0020184A"/>
  </w:footnote>
  <w:footnote w:type="continuationSeparator" w:id="0">
    <w:p w14:paraId="676B3F4C" w14:textId="77777777" w:rsidR="0020184A" w:rsidRDefault="0020184A" w:rsidP="009C5A37">
      <w:r>
        <w:continuationSeparator/>
      </w:r>
    </w:p>
    <w:p w14:paraId="18682CAA" w14:textId="77777777" w:rsidR="0020184A" w:rsidRDefault="0020184A"/>
  </w:footnote>
  <w:footnote w:id="1">
    <w:p w14:paraId="2B0643AE" w14:textId="41B89BA5" w:rsidR="0083324D" w:rsidRPr="002A1AB0" w:rsidRDefault="0083324D" w:rsidP="00905D27">
      <w:pPr>
        <w:pStyle w:val="FootnoteText"/>
        <w:jc w:val="both"/>
        <w:rPr>
          <w:rFonts w:ascii="Times New Roman" w:hAnsi="Times New Roman" w:cs="Times New Roman"/>
        </w:rPr>
      </w:pPr>
      <w:r w:rsidRPr="002A1AB0">
        <w:rPr>
          <w:rStyle w:val="FootnoteReference"/>
          <w:rFonts w:ascii="Times New Roman" w:hAnsi="Times New Roman" w:cs="Times New Roman"/>
        </w:rPr>
        <w:t>*</w:t>
      </w:r>
      <w:r w:rsidRPr="002A1AB0">
        <w:rPr>
          <w:rFonts w:ascii="Times New Roman" w:hAnsi="Times New Roman" w:cs="Times New Roman"/>
        </w:rPr>
        <w:t xml:space="preserve"> The Indigenous Nations Court (INC) is </w:t>
      </w:r>
      <w:r>
        <w:rPr>
          <w:rFonts w:ascii="Times New Roman" w:hAnsi="Times New Roman" w:cs="Times New Roman"/>
        </w:rPr>
        <w:t xml:space="preserve">not a real </w:t>
      </w:r>
      <w:r w:rsidRPr="002A1AB0">
        <w:rPr>
          <w:rFonts w:ascii="Times New Roman" w:hAnsi="Times New Roman" w:cs="Times New Roman"/>
        </w:rPr>
        <w:t>court and</w:t>
      </w:r>
      <w:r>
        <w:rPr>
          <w:rFonts w:ascii="Times New Roman" w:hAnsi="Times New Roman" w:cs="Times New Roman"/>
        </w:rPr>
        <w:t xml:space="preserve"> this is not an actual appeal.</w:t>
      </w:r>
      <w:r w:rsidRPr="002A1AB0">
        <w:rPr>
          <w:rFonts w:ascii="Times New Roman" w:hAnsi="Times New Roman" w:cs="Times New Roman"/>
        </w:rPr>
        <w:t xml:space="preserve"> </w:t>
      </w:r>
      <w:bookmarkStart w:id="2" w:name="_Hlk39309567"/>
      <w:r>
        <w:rPr>
          <w:rFonts w:ascii="Times New Roman" w:hAnsi="Times New Roman" w:cs="Times New Roman"/>
        </w:rPr>
        <w:t>Naiomi Metallic</w:t>
      </w:r>
      <w:r w:rsidRPr="002A1AB0">
        <w:rPr>
          <w:rFonts w:ascii="Times New Roman" w:hAnsi="Times New Roman" w:cs="Times New Roman"/>
        </w:rPr>
        <w:t xml:space="preserve">, the author of this </w:t>
      </w:r>
      <w:r>
        <w:rPr>
          <w:rFonts w:ascii="Times New Roman" w:hAnsi="Times New Roman" w:cs="Times New Roman"/>
        </w:rPr>
        <w:t>“</w:t>
      </w:r>
      <w:r w:rsidRPr="002A1AB0">
        <w:rPr>
          <w:rFonts w:ascii="Times New Roman" w:hAnsi="Times New Roman" w:cs="Times New Roman"/>
        </w:rPr>
        <w:t>judgment,</w:t>
      </w:r>
      <w:r>
        <w:rPr>
          <w:rFonts w:ascii="Times New Roman" w:hAnsi="Times New Roman" w:cs="Times New Roman"/>
        </w:rPr>
        <w:t>”</w:t>
      </w:r>
      <w:r w:rsidRPr="002A1AB0">
        <w:rPr>
          <w:rFonts w:ascii="Times New Roman" w:hAnsi="Times New Roman" w:cs="Times New Roman"/>
        </w:rPr>
        <w:t xml:space="preserve"> is </w:t>
      </w:r>
      <w:r>
        <w:rPr>
          <w:rFonts w:ascii="Times New Roman" w:hAnsi="Times New Roman" w:cs="Times New Roman"/>
        </w:rPr>
        <w:t xml:space="preserve">an </w:t>
      </w:r>
      <w:r w:rsidRPr="00905D27">
        <w:rPr>
          <w:rFonts w:ascii="Times New Roman" w:hAnsi="Times New Roman" w:cs="Times New Roman"/>
        </w:rPr>
        <w:t>Assistant Professor and the Chancellor</w:t>
      </w:r>
      <w:r>
        <w:rPr>
          <w:rFonts w:ascii="Times New Roman" w:hAnsi="Times New Roman" w:cs="Times New Roman"/>
        </w:rPr>
        <w:t>’</w:t>
      </w:r>
      <w:r w:rsidRPr="00905D27">
        <w:rPr>
          <w:rFonts w:ascii="Times New Roman" w:hAnsi="Times New Roman" w:cs="Times New Roman"/>
        </w:rPr>
        <w:t>s Chair in Aboriginal Law and Policy</w:t>
      </w:r>
      <w:r>
        <w:rPr>
          <w:rFonts w:ascii="Times New Roman" w:hAnsi="Times New Roman" w:cs="Times New Roman"/>
        </w:rPr>
        <w:t xml:space="preserve"> </w:t>
      </w:r>
      <w:r w:rsidRPr="00905D27">
        <w:rPr>
          <w:rFonts w:ascii="Times New Roman" w:hAnsi="Times New Roman" w:cs="Times New Roman"/>
        </w:rPr>
        <w:t xml:space="preserve">at the Schulich School of Law, Dalhousie University. </w:t>
      </w:r>
      <w:r>
        <w:rPr>
          <w:rFonts w:ascii="Times New Roman" w:hAnsi="Times New Roman" w:cs="Times New Roman"/>
        </w:rPr>
        <w:t xml:space="preserve">She is </w:t>
      </w:r>
      <w:r w:rsidRPr="002A1AB0">
        <w:rPr>
          <w:rFonts w:ascii="Times New Roman" w:hAnsi="Times New Roman" w:cs="Times New Roman"/>
        </w:rPr>
        <w:t>not a judge.</w:t>
      </w:r>
      <w:bookmarkEnd w:id="2"/>
    </w:p>
  </w:footnote>
  <w:footnote w:id="2">
    <w:p w14:paraId="1DB78776" w14:textId="506143EA" w:rsidR="0083324D" w:rsidRPr="002A1AB0" w:rsidRDefault="0083324D" w:rsidP="00905D27">
      <w:pPr>
        <w:pStyle w:val="FootnoteText"/>
        <w:jc w:val="both"/>
        <w:rPr>
          <w:rFonts w:ascii="Times New Roman" w:hAnsi="Times New Roman" w:cs="Times New Roman"/>
        </w:rPr>
      </w:pPr>
      <w:r w:rsidRPr="002A1AB0">
        <w:rPr>
          <w:rStyle w:val="FootnoteReference"/>
          <w:rFonts w:ascii="Times New Roman" w:hAnsi="Times New Roman" w:cs="Times New Roman"/>
        </w:rPr>
        <w:t>**</w:t>
      </w:r>
      <w:r w:rsidRPr="002A1AB0">
        <w:rPr>
          <w:rFonts w:ascii="Times New Roman" w:hAnsi="Times New Roman" w:cs="Times New Roman"/>
        </w:rPr>
        <w:t xml:space="preserve"> </w:t>
      </w:r>
      <w:r w:rsidRPr="00905D27">
        <w:rPr>
          <w:rFonts w:ascii="Times New Roman" w:hAnsi="Times New Roman" w:cs="Times New Roman"/>
        </w:rPr>
        <w:t>Naiomi Metallic is an Assistant Professor and the Chancellor's Chair in Aboriginal Law and Policy at the Schulich School of Law, Dalhousie University. She is not a judge.</w:t>
      </w:r>
    </w:p>
  </w:footnote>
  <w:footnote w:id="3">
    <w:p w14:paraId="108E0EB3" w14:textId="23C33B62"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7951">
        <w:rPr>
          <w:rFonts w:ascii="Times New Roman" w:hAnsi="Times New Roman" w:cs="Times New Roman"/>
          <w:i/>
          <w:iCs/>
        </w:rPr>
        <w:t>NIL/TU,O Child and Family Services Society v B.C. Government and Service Employees' Union</w:t>
      </w:r>
      <w:r>
        <w:rPr>
          <w:rFonts w:ascii="Times New Roman" w:hAnsi="Times New Roman" w:cs="Times New Roman"/>
        </w:rPr>
        <w:t xml:space="preserve">, </w:t>
      </w:r>
      <w:r w:rsidRPr="009B4557">
        <w:rPr>
          <w:rFonts w:ascii="Times New Roman" w:hAnsi="Times New Roman" w:cs="Times New Roman"/>
        </w:rPr>
        <w:t>2010 SCC 45</w:t>
      </w:r>
      <w:r>
        <w:rPr>
          <w:rFonts w:ascii="Times New Roman" w:hAnsi="Times New Roman" w:cs="Times New Roman"/>
        </w:rPr>
        <w:t xml:space="preserve"> [</w:t>
      </w:r>
      <w:r w:rsidRPr="009B7951">
        <w:rPr>
          <w:rFonts w:ascii="Times New Roman" w:hAnsi="Times New Roman" w:cs="Times New Roman"/>
          <w:i/>
          <w:iCs/>
        </w:rPr>
        <w:t>NIL/TU,O</w:t>
      </w:r>
      <w:r w:rsidRPr="00B47858">
        <w:rPr>
          <w:rFonts w:ascii="Times New Roman" w:hAnsi="Times New Roman" w:cs="Times New Roman"/>
        </w:rPr>
        <w:t>]</w:t>
      </w:r>
      <w:r w:rsidRPr="009B7951">
        <w:rPr>
          <w:rFonts w:ascii="Times New Roman" w:hAnsi="Times New Roman" w:cs="Times New Roman"/>
        </w:rPr>
        <w:t xml:space="preserve"> </w:t>
      </w:r>
      <w:r w:rsidRPr="009B4557">
        <w:rPr>
          <w:rFonts w:ascii="Times New Roman" w:hAnsi="Times New Roman" w:cs="Times New Roman"/>
        </w:rPr>
        <w:t xml:space="preserve">and </w:t>
      </w:r>
      <w:r w:rsidRPr="009B7951">
        <w:rPr>
          <w:rFonts w:ascii="Times New Roman" w:hAnsi="Times New Roman" w:cs="Times New Roman"/>
          <w:i/>
          <w:iCs/>
        </w:rPr>
        <w:t xml:space="preserve">Communications, Energy and </w:t>
      </w:r>
      <w:proofErr w:type="spellStart"/>
      <w:r w:rsidRPr="009B7951">
        <w:rPr>
          <w:rFonts w:ascii="Times New Roman" w:hAnsi="Times New Roman" w:cs="Times New Roman"/>
          <w:i/>
          <w:iCs/>
        </w:rPr>
        <w:t>Paperworkers</w:t>
      </w:r>
      <w:proofErr w:type="spellEnd"/>
      <w:r w:rsidRPr="009B7951">
        <w:rPr>
          <w:rFonts w:ascii="Times New Roman" w:hAnsi="Times New Roman" w:cs="Times New Roman"/>
          <w:i/>
          <w:iCs/>
        </w:rPr>
        <w:t xml:space="preserve"> Union of Canada v Native Child and Family Services of Toronto</w:t>
      </w:r>
      <w:r>
        <w:rPr>
          <w:rFonts w:ascii="Times New Roman" w:hAnsi="Times New Roman" w:cs="Times New Roman"/>
        </w:rPr>
        <w:t xml:space="preserve">, </w:t>
      </w:r>
      <w:r w:rsidRPr="009B4557">
        <w:rPr>
          <w:rFonts w:ascii="Times New Roman" w:hAnsi="Times New Roman" w:cs="Times New Roman"/>
        </w:rPr>
        <w:t>2010 SCC 46</w:t>
      </w:r>
      <w:r>
        <w:rPr>
          <w:rFonts w:ascii="Times New Roman" w:hAnsi="Times New Roman" w:cs="Times New Roman"/>
        </w:rPr>
        <w:t xml:space="preserve"> [</w:t>
      </w:r>
      <w:r w:rsidRPr="009B7951">
        <w:rPr>
          <w:rFonts w:ascii="Times New Roman" w:hAnsi="Times New Roman" w:cs="Times New Roman"/>
          <w:i/>
          <w:iCs/>
        </w:rPr>
        <w:t>Native Child</w:t>
      </w:r>
      <w:r>
        <w:rPr>
          <w:rFonts w:ascii="Times New Roman" w:hAnsi="Times New Roman" w:cs="Times New Roman"/>
        </w:rPr>
        <w:t>]</w:t>
      </w:r>
      <w:r w:rsidRPr="009B4557">
        <w:rPr>
          <w:rFonts w:ascii="Times New Roman" w:hAnsi="Times New Roman" w:cs="Times New Roman"/>
        </w:rPr>
        <w:t>.</w:t>
      </w:r>
    </w:p>
  </w:footnote>
  <w:footnote w:id="4">
    <w:p w14:paraId="5B7F2B24" w14:textId="7D9C386B"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NIL/</w:t>
      </w:r>
      <w:proofErr w:type="gramStart"/>
      <w:r w:rsidRPr="009B4557">
        <w:rPr>
          <w:rFonts w:ascii="Times New Roman" w:hAnsi="Times New Roman" w:cs="Times New Roman"/>
          <w:i/>
        </w:rPr>
        <w:t>TU,O</w:t>
      </w:r>
      <w:proofErr w:type="gramEnd"/>
      <w:r w:rsidRPr="00C20DCC">
        <w:rPr>
          <w:rFonts w:ascii="Times New Roman" w:hAnsi="Times New Roman" w:cs="Times New Roman"/>
          <w:iCs/>
        </w:rPr>
        <w:t>,</w:t>
      </w:r>
      <w:r w:rsidRPr="009B4557">
        <w:rPr>
          <w:rFonts w:ascii="Times New Roman" w:hAnsi="Times New Roman" w:cs="Times New Roman"/>
          <w:i/>
        </w:rPr>
        <w:t xml:space="preserve"> ibid</w:t>
      </w:r>
      <w:r w:rsidRPr="009B4557">
        <w:rPr>
          <w:rFonts w:ascii="Times New Roman" w:hAnsi="Times New Roman" w:cs="Times New Roman"/>
        </w:rPr>
        <w:t xml:space="preserve"> at para 20.</w:t>
      </w:r>
    </w:p>
  </w:footnote>
  <w:footnote w:id="5">
    <w:p w14:paraId="6F265BA6" w14:textId="123F8DEF"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Self-determination is the right of Indigenous peoples to choose their destinies.  In Canada, it means that First Nations, Inuit</w:t>
      </w:r>
      <w:r>
        <w:rPr>
          <w:rFonts w:ascii="Times New Roman" w:hAnsi="Times New Roman" w:cs="Times New Roman"/>
        </w:rPr>
        <w:t>,</w:t>
      </w:r>
      <w:r w:rsidRPr="009B4557">
        <w:rPr>
          <w:rFonts w:ascii="Times New Roman" w:hAnsi="Times New Roman" w:cs="Times New Roman"/>
        </w:rPr>
        <w:t xml:space="preserve"> and M</w:t>
      </w:r>
      <w:r>
        <w:rPr>
          <w:rFonts w:ascii="Times New Roman" w:hAnsi="Times New Roman" w:cs="Times New Roman"/>
        </w:rPr>
        <w:t>é</w:t>
      </w:r>
      <w:r w:rsidRPr="009B4557">
        <w:rPr>
          <w:rFonts w:ascii="Times New Roman" w:hAnsi="Times New Roman" w:cs="Times New Roman"/>
        </w:rPr>
        <w:t>tis have the right to negotiate the terms of their relationship with Canada and choose governmental structure</w:t>
      </w:r>
      <w:r>
        <w:rPr>
          <w:rFonts w:ascii="Times New Roman" w:hAnsi="Times New Roman" w:cs="Times New Roman"/>
        </w:rPr>
        <w:t>s</w:t>
      </w:r>
      <w:r w:rsidRPr="009B4557">
        <w:rPr>
          <w:rFonts w:ascii="Times New Roman" w:hAnsi="Times New Roman" w:cs="Times New Roman"/>
        </w:rPr>
        <w:t xml:space="preserve"> that meet their needs</w:t>
      </w:r>
      <w:r>
        <w:rPr>
          <w:rFonts w:ascii="Times New Roman" w:hAnsi="Times New Roman" w:cs="Times New Roman"/>
        </w:rPr>
        <w:t xml:space="preserve">: </w:t>
      </w:r>
      <w:r w:rsidRPr="009B4557">
        <w:rPr>
          <w:rFonts w:ascii="Times New Roman" w:hAnsi="Times New Roman" w:cs="Times New Roman"/>
        </w:rPr>
        <w:t xml:space="preserve">see </w:t>
      </w:r>
      <w:r w:rsidRPr="00F31886">
        <w:rPr>
          <w:rFonts w:ascii="Times New Roman" w:hAnsi="Times New Roman" w:cs="Times New Roman"/>
          <w:i/>
          <w:iCs/>
        </w:rPr>
        <w:t>Report of the Royal Commission on Aboriginal Peoples</w:t>
      </w:r>
      <w:r w:rsidRPr="009B4557">
        <w:rPr>
          <w:rFonts w:ascii="Times New Roman" w:hAnsi="Times New Roman" w:cs="Times New Roman"/>
        </w:rPr>
        <w:t xml:space="preserve"> </w:t>
      </w:r>
      <w:r>
        <w:rPr>
          <w:rFonts w:ascii="Times New Roman" w:hAnsi="Times New Roman" w:cs="Times New Roman"/>
        </w:rPr>
        <w:t xml:space="preserve">(Ottawa: Minister of Supply and Services Canada, 1996) </w:t>
      </w:r>
      <w:r w:rsidRPr="009B4557">
        <w:rPr>
          <w:rFonts w:ascii="Times New Roman" w:hAnsi="Times New Roman" w:cs="Times New Roman"/>
        </w:rPr>
        <w:t>(</w:t>
      </w:r>
      <w:r w:rsidRPr="00F31886">
        <w:rPr>
          <w:rFonts w:ascii="Times New Roman" w:hAnsi="Times New Roman" w:cs="Times New Roman"/>
          <w:i/>
          <w:iCs/>
        </w:rPr>
        <w:t>RCAP</w:t>
      </w:r>
      <w:r w:rsidRPr="009B4557">
        <w:rPr>
          <w:rFonts w:ascii="Times New Roman" w:hAnsi="Times New Roman" w:cs="Times New Roman"/>
        </w:rPr>
        <w:t xml:space="preserve">), </w:t>
      </w:r>
      <w:r>
        <w:rPr>
          <w:rFonts w:ascii="Times New Roman" w:hAnsi="Times New Roman" w:cs="Times New Roman"/>
        </w:rPr>
        <w:t>v</w:t>
      </w:r>
      <w:r w:rsidRPr="009B4557">
        <w:rPr>
          <w:rFonts w:ascii="Times New Roman" w:hAnsi="Times New Roman" w:cs="Times New Roman"/>
        </w:rPr>
        <w:t>ol 2,</w:t>
      </w:r>
      <w:r>
        <w:rPr>
          <w:rFonts w:ascii="Times New Roman" w:hAnsi="Times New Roman" w:cs="Times New Roman"/>
        </w:rPr>
        <w:t xml:space="preserve"> </w:t>
      </w:r>
      <w:proofErr w:type="spellStart"/>
      <w:r>
        <w:rPr>
          <w:rFonts w:ascii="Times New Roman" w:hAnsi="Times New Roman" w:cs="Times New Roman"/>
        </w:rPr>
        <w:t>pt</w:t>
      </w:r>
      <w:proofErr w:type="spellEnd"/>
      <w:r>
        <w:rPr>
          <w:rFonts w:ascii="Times New Roman" w:hAnsi="Times New Roman" w:cs="Times New Roman"/>
        </w:rPr>
        <w:t xml:space="preserve"> </w:t>
      </w:r>
      <w:r w:rsidRPr="00F31886">
        <w:rPr>
          <w:rFonts w:ascii="Times New Roman" w:hAnsi="Times New Roman" w:cs="Times New Roman"/>
        </w:rPr>
        <w:t>1 c 3 at 158 [</w:t>
      </w:r>
      <w:r w:rsidRPr="00F31886">
        <w:rPr>
          <w:rFonts w:ascii="Times New Roman" w:hAnsi="Times New Roman" w:cs="Times New Roman"/>
          <w:i/>
          <w:iCs/>
        </w:rPr>
        <w:t>RCAP</w:t>
      </w:r>
      <w:r w:rsidRPr="00F31886">
        <w:rPr>
          <w:rFonts w:ascii="Times New Roman" w:hAnsi="Times New Roman" w:cs="Times New Roman"/>
        </w:rPr>
        <w:t xml:space="preserve">]).  Self-determination includes the right to self-government: </w:t>
      </w:r>
      <w:r w:rsidRPr="00F31886">
        <w:rPr>
          <w:rFonts w:ascii="Times New Roman" w:hAnsi="Times New Roman" w:cs="Times New Roman"/>
          <w:i/>
          <w:iCs/>
        </w:rPr>
        <w:t xml:space="preserve">ibid </w:t>
      </w:r>
      <w:r w:rsidRPr="00F31886">
        <w:rPr>
          <w:rFonts w:ascii="Times New Roman" w:hAnsi="Times New Roman" w:cs="Times New Roman"/>
          <w:iCs/>
        </w:rPr>
        <w:t>at 159</w:t>
      </w:r>
      <w:bookmarkStart w:id="3" w:name="_Hlk39313635"/>
      <w:r w:rsidRPr="00F31886">
        <w:rPr>
          <w:rFonts w:ascii="Times New Roman" w:hAnsi="Times New Roman" w:cs="Times New Roman"/>
        </w:rPr>
        <w:t xml:space="preserve">; </w:t>
      </w:r>
      <w:r w:rsidRPr="00F31886">
        <w:rPr>
          <w:rFonts w:ascii="Times New Roman" w:hAnsi="Times New Roman" w:cs="Times New Roman"/>
          <w:i/>
          <w:iCs/>
        </w:rPr>
        <w:t>United Nations Declaration on the Rights of Indigenous Peoples</w:t>
      </w:r>
      <w:r w:rsidRPr="00F31886">
        <w:rPr>
          <w:rFonts w:ascii="Times New Roman" w:hAnsi="Times New Roman" w:cs="Times New Roman"/>
        </w:rPr>
        <w:t xml:space="preserve">, GA Res 61/295 (Annex), UN GAOR, 61st </w:t>
      </w:r>
      <w:proofErr w:type="spellStart"/>
      <w:r w:rsidRPr="00F31886">
        <w:rPr>
          <w:rFonts w:ascii="Times New Roman" w:hAnsi="Times New Roman" w:cs="Times New Roman"/>
        </w:rPr>
        <w:t>Sess</w:t>
      </w:r>
      <w:proofErr w:type="spellEnd"/>
      <w:r w:rsidRPr="00F31886">
        <w:rPr>
          <w:rFonts w:ascii="Times New Roman" w:hAnsi="Times New Roman" w:cs="Times New Roman"/>
        </w:rPr>
        <w:t xml:space="preserve">, Supp No 49, </w:t>
      </w:r>
      <w:r>
        <w:rPr>
          <w:rFonts w:ascii="Times New Roman" w:hAnsi="Times New Roman" w:cs="Times New Roman"/>
        </w:rPr>
        <w:t>v</w:t>
      </w:r>
      <w:r w:rsidRPr="00F31886">
        <w:rPr>
          <w:rFonts w:ascii="Times New Roman" w:hAnsi="Times New Roman" w:cs="Times New Roman"/>
        </w:rPr>
        <w:t>ol III, UN Doc A/61/ 49 (2008) 15,</w:t>
      </w:r>
      <w:bookmarkEnd w:id="3"/>
      <w:r w:rsidRPr="00F31886">
        <w:rPr>
          <w:rFonts w:ascii="Times New Roman" w:hAnsi="Times New Roman" w:cs="Times New Roman"/>
          <w:i/>
          <w:iCs/>
        </w:rPr>
        <w:t xml:space="preserve"> </w:t>
      </w:r>
      <w:r w:rsidRPr="00F31886">
        <w:rPr>
          <w:rFonts w:ascii="Times New Roman" w:hAnsi="Times New Roman" w:cs="Times New Roman"/>
        </w:rPr>
        <w:t>art 4 [</w:t>
      </w:r>
      <w:r w:rsidRPr="00F31886">
        <w:rPr>
          <w:rFonts w:ascii="Times New Roman" w:hAnsi="Times New Roman" w:cs="Times New Roman"/>
          <w:i/>
          <w:iCs/>
        </w:rPr>
        <w:t>UNDRIP</w:t>
      </w:r>
      <w:r w:rsidRPr="00F31886">
        <w:rPr>
          <w:rFonts w:ascii="Times New Roman" w:hAnsi="Times New Roman" w:cs="Times New Roman"/>
        </w:rPr>
        <w:t>].</w:t>
      </w:r>
      <w:r>
        <w:rPr>
          <w:rFonts w:ascii="Times New Roman" w:hAnsi="Times New Roman" w:cs="Times New Roman"/>
        </w:rPr>
        <w:t xml:space="preserve"> </w:t>
      </w:r>
      <w:r w:rsidRPr="00F31886">
        <w:rPr>
          <w:rFonts w:ascii="Times New Roman" w:hAnsi="Times New Roman" w:cs="Times New Roman"/>
        </w:rPr>
        <w:t>Self</w:t>
      </w:r>
      <w:r w:rsidRPr="009B4557">
        <w:rPr>
          <w:rFonts w:ascii="Times New Roman" w:hAnsi="Times New Roman" w:cs="Times New Roman"/>
        </w:rPr>
        <w:t xml:space="preserve">-government is the ability of Indigenous peoples to enforce their own rules, resolve disputes, problem-solve, and establish their own governing institutions to carry out these tasks: see Stephen Cornell, Catherine Curtis &amp; Miriam </w:t>
      </w:r>
      <w:proofErr w:type="spellStart"/>
      <w:r w:rsidRPr="009B4557">
        <w:rPr>
          <w:rFonts w:ascii="Times New Roman" w:hAnsi="Times New Roman" w:cs="Times New Roman"/>
        </w:rPr>
        <w:t>Jorgenen</w:t>
      </w:r>
      <w:proofErr w:type="spellEnd"/>
      <w:r w:rsidRPr="009B4557">
        <w:rPr>
          <w:rFonts w:ascii="Times New Roman" w:hAnsi="Times New Roman" w:cs="Times New Roman"/>
        </w:rPr>
        <w:t xml:space="preserve">, </w:t>
      </w:r>
      <w:r w:rsidRPr="009B4557">
        <w:rPr>
          <w:rFonts w:ascii="Times New Roman" w:hAnsi="Times New Roman" w:cs="Times New Roman"/>
          <w:i/>
        </w:rPr>
        <w:t xml:space="preserve">The Concept of Governance and Its Implications for First Nations </w:t>
      </w:r>
      <w:r w:rsidRPr="009B4557">
        <w:rPr>
          <w:rFonts w:ascii="Times New Roman" w:eastAsia="Times New Roman" w:hAnsi="Times New Roman" w:cs="Times New Roman"/>
          <w:i/>
          <w:iCs/>
          <w:color w:val="000000" w:themeColor="text1"/>
          <w:lang w:eastAsia="en-CA"/>
        </w:rPr>
        <w:t>–</w:t>
      </w:r>
      <w:r w:rsidRPr="009B4557">
        <w:rPr>
          <w:rFonts w:ascii="Times New Roman" w:hAnsi="Times New Roman" w:cs="Times New Roman"/>
          <w:i/>
        </w:rPr>
        <w:t xml:space="preserve"> A Report to the British Columbia Regional Vice-Chief, Assembly of First Nations</w:t>
      </w:r>
      <w:r w:rsidRPr="009B4557">
        <w:rPr>
          <w:rFonts w:ascii="Times New Roman" w:hAnsi="Times New Roman" w:cs="Times New Roman"/>
        </w:rPr>
        <w:t>, JOPNA no 2004-02 (Cambridge, MA: The Harvard Project on American Indian Economic Development, 2004).  For simplicity, we will simply refer to ‘self-determination’ in the remainder of this judgment</w:t>
      </w:r>
      <w:r>
        <w:rPr>
          <w:rFonts w:ascii="Times New Roman" w:hAnsi="Times New Roman" w:cs="Times New Roman"/>
        </w:rPr>
        <w:t>;</w:t>
      </w:r>
      <w:r w:rsidRPr="009B4557">
        <w:rPr>
          <w:rFonts w:ascii="Times New Roman" w:hAnsi="Times New Roman" w:cs="Times New Roman"/>
        </w:rPr>
        <w:t xml:space="preserve"> however, this is intended to include the Indigenous right to self-government.</w:t>
      </w:r>
    </w:p>
  </w:footnote>
  <w:footnote w:id="6">
    <w:p w14:paraId="2AB1D16D" w14:textId="647C9554" w:rsidR="0083324D" w:rsidRPr="00352EC8" w:rsidRDefault="0083324D" w:rsidP="005021E9">
      <w:pPr>
        <w:pStyle w:val="FootnoteText"/>
        <w:jc w:val="both"/>
      </w:pPr>
      <w:r w:rsidRPr="002D5719">
        <w:rPr>
          <w:rStyle w:val="FootnoteReference"/>
          <w:rFonts w:ascii="Times New Roman" w:hAnsi="Times New Roman" w:cs="Times New Roman"/>
        </w:rPr>
        <w:footnoteRef/>
      </w:r>
      <w:r w:rsidRPr="002D5719">
        <w:rPr>
          <w:rFonts w:ascii="Times New Roman" w:hAnsi="Times New Roman" w:cs="Times New Roman"/>
        </w:rPr>
        <w:t xml:space="preserve"> See </w:t>
      </w:r>
      <w:r w:rsidRPr="00E224E6">
        <w:rPr>
          <w:rFonts w:ascii="Times New Roman" w:hAnsi="Times New Roman" w:cs="Times New Roman"/>
          <w:i/>
          <w:iCs/>
        </w:rPr>
        <w:t>Reference re: British North America Act, 1867 (UK), s 91</w:t>
      </w:r>
      <w:r w:rsidRPr="00E224E6">
        <w:rPr>
          <w:rFonts w:ascii="Times New Roman" w:hAnsi="Times New Roman" w:cs="Times New Roman"/>
        </w:rPr>
        <w:t>, [1939] SCR 104 [</w:t>
      </w:r>
      <w:r w:rsidRPr="00E224E6">
        <w:rPr>
          <w:rFonts w:ascii="Times New Roman" w:hAnsi="Times New Roman" w:cs="Times New Roman"/>
          <w:i/>
          <w:iCs/>
        </w:rPr>
        <w:t>Re Eskimos</w:t>
      </w:r>
      <w:r w:rsidRPr="00E224E6">
        <w:rPr>
          <w:rFonts w:ascii="Times New Roman" w:hAnsi="Times New Roman" w:cs="Times New Roman"/>
        </w:rPr>
        <w:t>];</w:t>
      </w:r>
      <w:r w:rsidRPr="007849C8">
        <w:rPr>
          <w:rFonts w:ascii="Times New Roman" w:hAnsi="Times New Roman" w:cs="Times New Roman"/>
        </w:rPr>
        <w:t xml:space="preserve"> </w:t>
      </w:r>
      <w:r w:rsidRPr="0077775E">
        <w:rPr>
          <w:rFonts w:ascii="Times New Roman" w:hAnsi="Times New Roman" w:cs="Times New Roman"/>
          <w:i/>
        </w:rPr>
        <w:t>Daniels v Canada (Indian Affairs and Northern Development)</w:t>
      </w:r>
      <w:r w:rsidRPr="0077775E">
        <w:rPr>
          <w:rFonts w:ascii="Times New Roman" w:hAnsi="Times New Roman" w:cs="Times New Roman"/>
        </w:rPr>
        <w:t>, [2016] 1 SCR 99</w:t>
      </w:r>
      <w:r>
        <w:rPr>
          <w:rFonts w:ascii="Times New Roman" w:hAnsi="Times New Roman" w:cs="Times New Roman"/>
        </w:rPr>
        <w:t xml:space="preserve"> [</w:t>
      </w:r>
      <w:r>
        <w:rPr>
          <w:rFonts w:ascii="Times New Roman" w:hAnsi="Times New Roman" w:cs="Times New Roman"/>
          <w:i/>
          <w:iCs/>
        </w:rPr>
        <w:t>Daniels</w:t>
      </w:r>
      <w:r>
        <w:rPr>
          <w:rFonts w:ascii="Times New Roman" w:hAnsi="Times New Roman" w:cs="Times New Roman"/>
        </w:rPr>
        <w:t xml:space="preserve">]; </w:t>
      </w:r>
      <w:r>
        <w:rPr>
          <w:rFonts w:ascii="Times New Roman" w:hAnsi="Times New Roman" w:cs="Times New Roman"/>
          <w:i/>
          <w:iCs/>
        </w:rPr>
        <w:t xml:space="preserve">UNDRIP, </w:t>
      </w:r>
      <w:r w:rsidRPr="00685205">
        <w:rPr>
          <w:rFonts w:ascii="Times New Roman" w:hAnsi="Times New Roman" w:cs="Times New Roman"/>
          <w:i/>
          <w:iCs/>
        </w:rPr>
        <w:t>ibid</w:t>
      </w:r>
      <w:r>
        <w:rPr>
          <w:rFonts w:ascii="Times New Roman" w:hAnsi="Times New Roman" w:cs="Times New Roman"/>
          <w:color w:val="000000"/>
          <w:shd w:val="clear" w:color="auto" w:fill="FFFFFF"/>
        </w:rPr>
        <w:t>.</w:t>
      </w:r>
    </w:p>
  </w:footnote>
  <w:footnote w:id="7">
    <w:p w14:paraId="2857062E" w14:textId="2AF64BCD" w:rsidR="0083324D" w:rsidRPr="00B418DC"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bookmarkStart w:id="4" w:name="_Hlk39317339"/>
      <w:r w:rsidRPr="009B4557">
        <w:rPr>
          <w:rFonts w:ascii="Times New Roman" w:hAnsi="Times New Roman" w:cs="Times New Roman"/>
        </w:rPr>
        <w:t>Brian Slattery, “The Hidden Constitution: Aboriginal Rights in Canada” in M</w:t>
      </w:r>
      <w:r>
        <w:rPr>
          <w:rFonts w:ascii="Times New Roman" w:hAnsi="Times New Roman" w:cs="Times New Roman"/>
        </w:rPr>
        <w:t>enno</w:t>
      </w:r>
      <w:r w:rsidRPr="009B4557">
        <w:rPr>
          <w:rFonts w:ascii="Times New Roman" w:hAnsi="Times New Roman" w:cs="Times New Roman"/>
        </w:rPr>
        <w:t xml:space="preserve"> Boldt &amp; J.</w:t>
      </w:r>
      <w:r>
        <w:rPr>
          <w:rFonts w:ascii="Times New Roman" w:hAnsi="Times New Roman" w:cs="Times New Roman"/>
        </w:rPr>
        <w:t xml:space="preserve"> </w:t>
      </w:r>
      <w:r w:rsidRPr="009B4557">
        <w:rPr>
          <w:rFonts w:ascii="Times New Roman" w:hAnsi="Times New Roman" w:cs="Times New Roman"/>
        </w:rPr>
        <w:t>A</w:t>
      </w:r>
      <w:r>
        <w:rPr>
          <w:rFonts w:ascii="Times New Roman" w:hAnsi="Times New Roman" w:cs="Times New Roman"/>
        </w:rPr>
        <w:t>nthony</w:t>
      </w:r>
      <w:r w:rsidRPr="009B4557">
        <w:rPr>
          <w:rFonts w:ascii="Times New Roman" w:hAnsi="Times New Roman" w:cs="Times New Roman"/>
        </w:rPr>
        <w:t xml:space="preserve"> Long, eds, </w:t>
      </w:r>
      <w:r w:rsidRPr="009B4557">
        <w:rPr>
          <w:rFonts w:ascii="Times New Roman" w:hAnsi="Times New Roman" w:cs="Times New Roman"/>
          <w:i/>
        </w:rPr>
        <w:t xml:space="preserve">The Quest for Justice: Aboriginal Peoples and Aboriginal Rights </w:t>
      </w:r>
      <w:bookmarkStart w:id="5" w:name="_Hlk35353703"/>
      <w:r w:rsidRPr="009B4557">
        <w:rPr>
          <w:rFonts w:ascii="Times New Roman" w:hAnsi="Times New Roman" w:cs="Times New Roman"/>
        </w:rPr>
        <w:t>(Toronto: University of Toronto Press, 1985)</w:t>
      </w:r>
      <w:bookmarkEnd w:id="5"/>
      <w:r>
        <w:rPr>
          <w:rFonts w:ascii="Times New Roman" w:hAnsi="Times New Roman" w:cs="Times New Roman"/>
        </w:rPr>
        <w:t xml:space="preserve">, </w:t>
      </w:r>
      <w:r w:rsidRPr="009B4557">
        <w:rPr>
          <w:rFonts w:ascii="Times New Roman" w:hAnsi="Times New Roman" w:cs="Times New Roman"/>
        </w:rPr>
        <w:t>114</w:t>
      </w:r>
      <w:bookmarkEnd w:id="4"/>
      <w:r w:rsidRPr="009B4557">
        <w:rPr>
          <w:rFonts w:ascii="Times New Roman" w:hAnsi="Times New Roman" w:cs="Times New Roman"/>
        </w:rPr>
        <w:t xml:space="preserve">; Bruce Ryder, “The Demise and Rise of the Classical Paradigm in Canadian Federalism: Promoting Autonomy for the Provinces and First Nations” (1991) McGill LJ 308 (Ryder); </w:t>
      </w:r>
      <w:r w:rsidRPr="009B4557">
        <w:rPr>
          <w:rFonts w:ascii="Times New Roman" w:eastAsia="Times New Roman" w:hAnsi="Times New Roman" w:cs="Times New Roman"/>
          <w:lang w:eastAsia="en-CA"/>
        </w:rPr>
        <w:t xml:space="preserve">James </w:t>
      </w:r>
      <w:proofErr w:type="spellStart"/>
      <w:r w:rsidRPr="009B4557">
        <w:rPr>
          <w:rFonts w:ascii="Times New Roman" w:eastAsia="Times New Roman" w:hAnsi="Times New Roman" w:cs="Times New Roman"/>
          <w:lang w:eastAsia="en-CA"/>
        </w:rPr>
        <w:t>Sákéj</w:t>
      </w:r>
      <w:proofErr w:type="spellEnd"/>
      <w:r w:rsidRPr="009B4557">
        <w:rPr>
          <w:rFonts w:ascii="Times New Roman" w:eastAsia="Times New Roman" w:hAnsi="Times New Roman" w:cs="Times New Roman"/>
          <w:lang w:eastAsia="en-CA"/>
        </w:rPr>
        <w:t xml:space="preserve"> Youngblood Henderson, “Empowering Treaty Federalism” (1994) 58 </w:t>
      </w:r>
      <w:proofErr w:type="spellStart"/>
      <w:r w:rsidRPr="009B4557">
        <w:rPr>
          <w:rFonts w:ascii="Times New Roman" w:eastAsia="Times New Roman" w:hAnsi="Times New Roman" w:cs="Times New Roman"/>
          <w:lang w:eastAsia="en-CA"/>
        </w:rPr>
        <w:t>Sask</w:t>
      </w:r>
      <w:proofErr w:type="spellEnd"/>
      <w:r w:rsidRPr="009B4557">
        <w:rPr>
          <w:rFonts w:ascii="Times New Roman" w:eastAsia="Times New Roman" w:hAnsi="Times New Roman" w:cs="Times New Roman"/>
          <w:lang w:eastAsia="en-CA"/>
        </w:rPr>
        <w:t xml:space="preserve"> L Rev 241 (Henderson)</w:t>
      </w:r>
      <w:r w:rsidRPr="009B4557">
        <w:rPr>
          <w:rFonts w:ascii="Times New Roman" w:hAnsi="Times New Roman" w:cs="Times New Roman"/>
        </w:rPr>
        <w:t xml:space="preserve">; John Borrows, </w:t>
      </w:r>
      <w:r w:rsidRPr="009B4557">
        <w:rPr>
          <w:rFonts w:ascii="Times New Roman" w:hAnsi="Times New Roman" w:cs="Times New Roman"/>
          <w:i/>
          <w:iCs/>
        </w:rPr>
        <w:t>Canada’s Indigenous Constitution</w:t>
      </w:r>
      <w:r w:rsidRPr="009B4557">
        <w:rPr>
          <w:rFonts w:ascii="Times New Roman" w:hAnsi="Times New Roman" w:cs="Times New Roman"/>
        </w:rPr>
        <w:t xml:space="preserve"> (Toronto: University of Toronto Press, 2010)</w:t>
      </w:r>
      <w:r>
        <w:rPr>
          <w:rFonts w:ascii="Times New Roman" w:hAnsi="Times New Roman" w:cs="Times New Roman"/>
        </w:rPr>
        <w:t>,</w:t>
      </w:r>
      <w:r w:rsidRPr="009B4557">
        <w:rPr>
          <w:rFonts w:ascii="Times New Roman" w:hAnsi="Times New Roman" w:cs="Times New Roman"/>
        </w:rPr>
        <w:t xml:space="preserve"> </w:t>
      </w:r>
      <w:r>
        <w:rPr>
          <w:rFonts w:ascii="Times New Roman" w:hAnsi="Times New Roman" w:cs="Times New Roman"/>
        </w:rPr>
        <w:t xml:space="preserve">c </w:t>
      </w:r>
      <w:r w:rsidRPr="009B4557">
        <w:rPr>
          <w:rFonts w:ascii="Times New Roman" w:hAnsi="Times New Roman" w:cs="Times New Roman"/>
        </w:rPr>
        <w:t xml:space="preserve">1; Brian Slattery, “The Aboriginal Constitution” (2015) 67 SCLR (3d) 319; </w:t>
      </w:r>
      <w:r w:rsidRPr="009B4557">
        <w:rPr>
          <w:rFonts w:ascii="Times New Roman" w:eastAsia="Times New Roman" w:hAnsi="Times New Roman" w:cs="Times New Roman"/>
          <w:color w:val="000000" w:themeColor="text1"/>
          <w:lang w:eastAsia="en-CA"/>
        </w:rPr>
        <w:t xml:space="preserve">Joshua Nichols, </w:t>
      </w:r>
      <w:r w:rsidRPr="009B4557">
        <w:rPr>
          <w:rFonts w:ascii="Times New Roman" w:eastAsia="Times New Roman" w:hAnsi="Times New Roman" w:cs="Times New Roman"/>
          <w:lang w:eastAsia="en-CA"/>
        </w:rPr>
        <w:t>“Sui Generis Sovereignties: An Investigation into the Relationship between the Principles of Treaty Interpretation and the Conceptual Framework of Canadian Sovereignty</w:t>
      </w:r>
      <w:r>
        <w:rPr>
          <w:rFonts w:ascii="Times New Roman" w:eastAsia="Times New Roman" w:hAnsi="Times New Roman" w:cs="Times New Roman"/>
          <w:lang w:eastAsia="en-CA"/>
        </w:rPr>
        <w:t>,</w:t>
      </w:r>
      <w:r w:rsidRPr="009B4557">
        <w:rPr>
          <w:rFonts w:ascii="Times New Roman" w:eastAsia="Times New Roman" w:hAnsi="Times New Roman" w:cs="Times New Roman"/>
          <w:lang w:eastAsia="en-CA"/>
        </w:rPr>
        <w:t>” in</w:t>
      </w:r>
      <w:r>
        <w:rPr>
          <w:rFonts w:ascii="Times New Roman" w:eastAsia="Times New Roman" w:hAnsi="Times New Roman" w:cs="Times New Roman"/>
          <w:lang w:eastAsia="en-CA"/>
        </w:rPr>
        <w:t xml:space="preserve"> </w:t>
      </w:r>
      <w:r w:rsidRPr="00596D3A">
        <w:rPr>
          <w:rFonts w:ascii="Times New Roman" w:eastAsia="Times New Roman" w:hAnsi="Times New Roman" w:cs="Times New Roman"/>
          <w:lang w:eastAsia="en-CA"/>
        </w:rPr>
        <w:t xml:space="preserve">Oonagh E. Fitzgerald, Valerie Hughes </w:t>
      </w:r>
      <w:r>
        <w:rPr>
          <w:rFonts w:ascii="Times New Roman" w:eastAsia="Times New Roman" w:hAnsi="Times New Roman" w:cs="Times New Roman"/>
          <w:lang w:eastAsia="en-CA"/>
        </w:rPr>
        <w:t>&amp;</w:t>
      </w:r>
      <w:r w:rsidRPr="00596D3A">
        <w:rPr>
          <w:rFonts w:ascii="Times New Roman" w:eastAsia="Times New Roman" w:hAnsi="Times New Roman" w:cs="Times New Roman"/>
          <w:lang w:eastAsia="en-CA"/>
        </w:rPr>
        <w:t xml:space="preserve"> Mark Jewett</w:t>
      </w:r>
      <w:r>
        <w:rPr>
          <w:rFonts w:ascii="Times New Roman" w:eastAsia="Times New Roman" w:hAnsi="Times New Roman" w:cs="Times New Roman"/>
          <w:lang w:eastAsia="en-CA"/>
        </w:rPr>
        <w:t>, eds,</w:t>
      </w:r>
      <w:r w:rsidRPr="009B4557">
        <w:rPr>
          <w:rFonts w:ascii="Times New Roman" w:eastAsia="Times New Roman" w:hAnsi="Times New Roman" w:cs="Times New Roman"/>
          <w:lang w:eastAsia="en-CA"/>
        </w:rPr>
        <w:t xml:space="preserve"> </w:t>
      </w:r>
      <w:r w:rsidRPr="00B47858">
        <w:rPr>
          <w:rFonts w:ascii="Times New Roman" w:eastAsia="Times New Roman" w:hAnsi="Times New Roman" w:cs="Times New Roman"/>
          <w:i/>
          <w:lang w:eastAsia="en-CA"/>
        </w:rPr>
        <w:t>Reflections on Canada’s Past, Present and Future in International Law</w:t>
      </w:r>
      <w:r w:rsidRPr="009B4557">
        <w:rPr>
          <w:rFonts w:ascii="Times New Roman" w:eastAsia="Times New Roman" w:hAnsi="Times New Roman" w:cs="Times New Roman"/>
          <w:lang w:eastAsia="en-CA"/>
        </w:rPr>
        <w:t xml:space="preserve"> </w:t>
      </w:r>
      <w:r>
        <w:rPr>
          <w:rFonts w:ascii="Times New Roman" w:eastAsia="Times New Roman" w:hAnsi="Times New Roman" w:cs="Times New Roman"/>
          <w:lang w:eastAsia="en-CA"/>
        </w:rPr>
        <w:t xml:space="preserve">(Montreal &amp; Kingston: </w:t>
      </w:r>
      <w:r w:rsidRPr="009B4557">
        <w:rPr>
          <w:rFonts w:ascii="Times New Roman" w:eastAsia="Times New Roman" w:hAnsi="Times New Roman" w:cs="Times New Roman"/>
          <w:lang w:eastAsia="en-CA"/>
        </w:rPr>
        <w:t>McGill-Queen’s University Press</w:t>
      </w:r>
      <w:r>
        <w:rPr>
          <w:rFonts w:ascii="Times New Roman" w:eastAsia="Times New Roman" w:hAnsi="Times New Roman" w:cs="Times New Roman"/>
          <w:lang w:eastAsia="en-CA"/>
        </w:rPr>
        <w:t xml:space="preserve">, </w:t>
      </w:r>
      <w:r w:rsidRPr="009B4557">
        <w:rPr>
          <w:rFonts w:ascii="Times New Roman" w:eastAsia="Times New Roman" w:hAnsi="Times New Roman" w:cs="Times New Roman"/>
          <w:lang w:eastAsia="en-CA"/>
        </w:rPr>
        <w:t>2018)</w:t>
      </w:r>
      <w:r>
        <w:rPr>
          <w:rFonts w:ascii="Times New Roman" w:eastAsia="Times New Roman" w:hAnsi="Times New Roman" w:cs="Times New Roman"/>
          <w:lang w:eastAsia="en-CA"/>
        </w:rPr>
        <w:t xml:space="preserve">, </w:t>
      </w:r>
      <w:r w:rsidRPr="00B418DC">
        <w:rPr>
          <w:rFonts w:ascii="Times New Roman" w:eastAsia="Times New Roman" w:hAnsi="Times New Roman" w:cs="Times New Roman"/>
          <w:lang w:eastAsia="en-CA"/>
        </w:rPr>
        <w:t>131 (Nichols,</w:t>
      </w:r>
      <w:r w:rsidRPr="00B418DC">
        <w:rPr>
          <w:rFonts w:ascii="Times New Roman" w:eastAsia="Times New Roman" w:hAnsi="Times New Roman" w:cs="Times New Roman"/>
          <w:sz w:val="22"/>
          <w:szCs w:val="22"/>
          <w:lang w:eastAsia="en-CA"/>
        </w:rPr>
        <w:t xml:space="preserve"> </w:t>
      </w:r>
      <w:r w:rsidRPr="00B418DC">
        <w:rPr>
          <w:rFonts w:ascii="Times New Roman" w:eastAsia="Times New Roman" w:hAnsi="Times New Roman" w:cs="Times New Roman"/>
          <w:lang w:eastAsia="en-CA"/>
        </w:rPr>
        <w:t>“Sui Generis Sovereignties”)</w:t>
      </w:r>
      <w:r w:rsidRPr="00B418DC">
        <w:rPr>
          <w:rFonts w:ascii="Times New Roman" w:hAnsi="Times New Roman" w:cs="Times New Roman"/>
        </w:rPr>
        <w:t>; Alan Hanna, “</w:t>
      </w:r>
      <w:r w:rsidRPr="00B418DC">
        <w:rPr>
          <w:rFonts w:ascii="Times New Roman" w:hAnsi="Times New Roman" w:cs="Times New Roman"/>
          <w:bCs/>
        </w:rPr>
        <w:t>Spaces for Sharing: Searching for Indigenous Law on the Canadian Legal Landscape</w:t>
      </w:r>
      <w:r w:rsidRPr="00B418DC">
        <w:rPr>
          <w:rFonts w:ascii="Times New Roman" w:hAnsi="Times New Roman" w:cs="Times New Roman"/>
        </w:rPr>
        <w:t xml:space="preserve">” (2018) 51 UBC L Rev 105.     </w:t>
      </w:r>
    </w:p>
  </w:footnote>
  <w:footnote w:id="8">
    <w:p w14:paraId="42D7574F" w14:textId="3F215029" w:rsidR="0083324D" w:rsidRPr="00B418DC" w:rsidRDefault="0083324D" w:rsidP="005021E9">
      <w:pPr>
        <w:pStyle w:val="FootnoteText"/>
        <w:jc w:val="both"/>
        <w:rPr>
          <w:rFonts w:ascii="Times New Roman" w:hAnsi="Times New Roman" w:cs="Times New Roman"/>
        </w:rPr>
      </w:pPr>
      <w:r w:rsidRPr="00B418DC">
        <w:rPr>
          <w:rStyle w:val="FootnoteReference"/>
          <w:rFonts w:ascii="Times New Roman" w:hAnsi="Times New Roman" w:cs="Times New Roman"/>
        </w:rPr>
        <w:footnoteRef/>
      </w:r>
      <w:r w:rsidRPr="00B418DC">
        <w:rPr>
          <w:rFonts w:ascii="Times New Roman" w:hAnsi="Times New Roman" w:cs="Times New Roman"/>
        </w:rPr>
        <w:t xml:space="preserve"> (1888) 14 App Cas 46 [</w:t>
      </w:r>
      <w:r w:rsidRPr="00B418DC">
        <w:rPr>
          <w:rFonts w:ascii="Times New Roman" w:hAnsi="Times New Roman" w:cs="Times New Roman"/>
          <w:i/>
          <w:iCs/>
        </w:rPr>
        <w:t>St. Catherine’s Milling</w:t>
      </w:r>
      <w:r w:rsidRPr="00B418DC">
        <w:rPr>
          <w:rFonts w:ascii="Times New Roman" w:hAnsi="Times New Roman" w:cs="Times New Roman"/>
        </w:rPr>
        <w:t xml:space="preserve">]. See Kent McNeil, </w:t>
      </w:r>
      <w:r w:rsidRPr="00B418DC">
        <w:rPr>
          <w:rFonts w:ascii="Times New Roman" w:hAnsi="Times New Roman" w:cs="Times New Roman"/>
          <w:i/>
        </w:rPr>
        <w:t xml:space="preserve">Flawed Precedent: The </w:t>
      </w:r>
      <w:r w:rsidRPr="00B418DC">
        <w:rPr>
          <w:rFonts w:ascii="Times New Roman" w:hAnsi="Times New Roman" w:cs="Times New Roman"/>
          <w:iCs/>
        </w:rPr>
        <w:t xml:space="preserve">St. Catherine’s </w:t>
      </w:r>
      <w:r w:rsidRPr="00B418DC">
        <w:rPr>
          <w:rFonts w:ascii="Times New Roman" w:hAnsi="Times New Roman" w:cs="Times New Roman"/>
          <w:i/>
        </w:rPr>
        <w:t>Case and Aboriginal Title</w:t>
      </w:r>
      <w:r w:rsidRPr="00B418DC">
        <w:rPr>
          <w:rFonts w:ascii="Times New Roman" w:hAnsi="Times New Roman" w:cs="Times New Roman"/>
        </w:rPr>
        <w:t xml:space="preserve"> (Vancouver: UBC Press, 2019).</w:t>
      </w:r>
    </w:p>
  </w:footnote>
  <w:footnote w:id="9">
    <w:p w14:paraId="4D32A0E9" w14:textId="71DE557B" w:rsidR="0083324D" w:rsidRPr="009B4557" w:rsidRDefault="0083324D" w:rsidP="005021E9">
      <w:pPr>
        <w:pStyle w:val="FootnoteText"/>
        <w:jc w:val="both"/>
        <w:rPr>
          <w:rFonts w:ascii="Times New Roman" w:hAnsi="Times New Roman" w:cs="Times New Roman"/>
        </w:rPr>
      </w:pPr>
      <w:r w:rsidRPr="00B418DC">
        <w:rPr>
          <w:rStyle w:val="FootnoteReference"/>
          <w:rFonts w:ascii="Times New Roman" w:hAnsi="Times New Roman" w:cs="Times New Roman"/>
        </w:rPr>
        <w:footnoteRef/>
      </w:r>
      <w:r w:rsidRPr="00B418DC">
        <w:rPr>
          <w:rFonts w:ascii="Times New Roman" w:hAnsi="Times New Roman" w:cs="Times New Roman"/>
        </w:rPr>
        <w:t xml:space="preserve"> </w:t>
      </w:r>
      <w:bookmarkStart w:id="6" w:name="_Hlk39318127"/>
      <w:r w:rsidRPr="00B418DC">
        <w:rPr>
          <w:rFonts w:ascii="Times New Roman" w:hAnsi="Times New Roman" w:cs="Times New Roman"/>
        </w:rPr>
        <w:t xml:space="preserve">See </w:t>
      </w:r>
      <w:r w:rsidRPr="00B418DC">
        <w:rPr>
          <w:rFonts w:ascii="Times New Roman" w:eastAsia="Times New Roman" w:hAnsi="Times New Roman" w:cs="Times New Roman"/>
          <w:color w:val="000000" w:themeColor="text1"/>
          <w:lang w:eastAsia="en-CA"/>
        </w:rPr>
        <w:t xml:space="preserve">John Borrows, </w:t>
      </w:r>
      <w:bookmarkStart w:id="7" w:name="_Hlk39322228"/>
      <w:r w:rsidRPr="00B418DC">
        <w:rPr>
          <w:rFonts w:ascii="Times New Roman" w:eastAsia="Times New Roman" w:hAnsi="Times New Roman" w:cs="Times New Roman"/>
          <w:color w:val="000000" w:themeColor="text1"/>
          <w:lang w:eastAsia="en-CA"/>
        </w:rPr>
        <w:t xml:space="preserve">“Canada’s Colonial Constitution,” </w:t>
      </w:r>
      <w:bookmarkEnd w:id="7"/>
      <w:r w:rsidRPr="00B418DC">
        <w:rPr>
          <w:rFonts w:ascii="Times New Roman" w:eastAsia="Times New Roman" w:hAnsi="Times New Roman" w:cs="Times New Roman"/>
          <w:color w:val="000000" w:themeColor="text1"/>
          <w:lang w:eastAsia="en-CA"/>
        </w:rPr>
        <w:t>in  John Borrows &amp; Michael Coyle, eds,</w:t>
      </w:r>
      <w:r w:rsidRPr="00B418DC">
        <w:rPr>
          <w:rFonts w:ascii="Times New Roman" w:eastAsia="Times New Roman" w:hAnsi="Times New Roman" w:cs="Times New Roman"/>
          <w:i/>
          <w:iCs/>
          <w:color w:val="000000" w:themeColor="text1"/>
          <w:sz w:val="22"/>
          <w:szCs w:val="22"/>
          <w:lang w:eastAsia="en-CA"/>
        </w:rPr>
        <w:t xml:space="preserve"> </w:t>
      </w:r>
      <w:r w:rsidRPr="00B418DC">
        <w:rPr>
          <w:rFonts w:ascii="Times New Roman" w:eastAsia="Times New Roman" w:hAnsi="Times New Roman" w:cs="Times New Roman"/>
          <w:i/>
          <w:iCs/>
          <w:color w:val="000000" w:themeColor="text1"/>
          <w:lang w:eastAsia="en-CA"/>
        </w:rPr>
        <w:t>The Right Relationship: Reimagining the Implementation of Historic Treaties</w:t>
      </w:r>
      <w:r w:rsidRPr="00B418DC">
        <w:rPr>
          <w:rFonts w:ascii="Times New Roman" w:eastAsia="Times New Roman" w:hAnsi="Times New Roman" w:cs="Times New Roman"/>
          <w:color w:val="000000" w:themeColor="text1"/>
          <w:lang w:eastAsia="en-CA"/>
        </w:rPr>
        <w:t xml:space="preserve"> (Toronto: University of Toronto Press, 2017), 17 </w:t>
      </w:r>
      <w:bookmarkEnd w:id="6"/>
      <w:r w:rsidRPr="00B418DC">
        <w:rPr>
          <w:rFonts w:ascii="Times New Roman" w:eastAsia="Times New Roman" w:hAnsi="Times New Roman" w:cs="Times New Roman"/>
          <w:color w:val="000000" w:themeColor="text1"/>
          <w:lang w:eastAsia="en-CA"/>
        </w:rPr>
        <w:t xml:space="preserve">(Borrows, “Canada’s Colonial Constitution”); Nichols, </w:t>
      </w:r>
      <w:r w:rsidRPr="00B418DC">
        <w:rPr>
          <w:rFonts w:ascii="Times New Roman" w:eastAsia="Times New Roman" w:hAnsi="Times New Roman" w:cs="Times New Roman"/>
          <w:i/>
          <w:color w:val="000000" w:themeColor="text1"/>
          <w:lang w:eastAsia="en-CA"/>
        </w:rPr>
        <w:t>supra</w:t>
      </w:r>
      <w:r w:rsidRPr="00B418DC">
        <w:rPr>
          <w:rFonts w:ascii="Times New Roman" w:eastAsia="Times New Roman" w:hAnsi="Times New Roman" w:cs="Times New Roman"/>
          <w:iCs/>
          <w:color w:val="000000" w:themeColor="text1"/>
          <w:lang w:eastAsia="en-CA"/>
        </w:rPr>
        <w:t xml:space="preserve"> note 5</w:t>
      </w:r>
      <w:r w:rsidRPr="00B418DC">
        <w:rPr>
          <w:rFonts w:ascii="Times New Roman" w:eastAsia="Times New Roman" w:hAnsi="Times New Roman" w:cs="Times New Roman"/>
          <w:lang w:eastAsia="en-CA"/>
        </w:rPr>
        <w:t xml:space="preserve">; Joshua Ben David Nichols, </w:t>
      </w:r>
      <w:r w:rsidRPr="00B418DC">
        <w:rPr>
          <w:rFonts w:ascii="Times New Roman" w:eastAsia="Times New Roman" w:hAnsi="Times New Roman" w:cs="Times New Roman"/>
          <w:i/>
          <w:lang w:eastAsia="en-CA"/>
        </w:rPr>
        <w:t>Reconciliation without Recollection? An Investigation of the Foundations of Aboriginal</w:t>
      </w:r>
      <w:r w:rsidRPr="002D5719">
        <w:rPr>
          <w:rFonts w:ascii="Times New Roman" w:eastAsia="Times New Roman" w:hAnsi="Times New Roman" w:cs="Times New Roman"/>
          <w:i/>
          <w:lang w:eastAsia="en-CA"/>
        </w:rPr>
        <w:t xml:space="preserve"> Law in Canada</w:t>
      </w:r>
      <w:r w:rsidRPr="00BF1E8F">
        <w:rPr>
          <w:rFonts w:ascii="Times New Roman" w:eastAsia="Times New Roman" w:hAnsi="Times New Roman" w:cs="Times New Roman"/>
          <w:lang w:eastAsia="en-CA"/>
        </w:rPr>
        <w:t xml:space="preserve"> (Toronto: University of Toronto Press, 2020)</w:t>
      </w:r>
      <w:r>
        <w:rPr>
          <w:rFonts w:ascii="Times New Roman" w:eastAsia="Times New Roman" w:hAnsi="Times New Roman" w:cs="Times New Roman"/>
          <w:lang w:eastAsia="en-CA"/>
        </w:rPr>
        <w:t>.</w:t>
      </w:r>
    </w:p>
  </w:footnote>
  <w:footnote w:id="10">
    <w:p w14:paraId="1567B1A3" w14:textId="0E0702B8"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eastAsia="Times New Roman" w:hAnsi="Times New Roman" w:cs="Times New Roman"/>
        </w:rPr>
        <w:t xml:space="preserve">See </w:t>
      </w:r>
      <w:r w:rsidRPr="009B4557">
        <w:rPr>
          <w:rFonts w:ascii="Times New Roman" w:eastAsia="Times New Roman" w:hAnsi="Times New Roman" w:cs="Times New Roman"/>
          <w:i/>
          <w:iCs/>
        </w:rPr>
        <w:t>Calder v Attorney-General of British Columbia</w:t>
      </w:r>
      <w:r w:rsidRPr="009B4557">
        <w:rPr>
          <w:rFonts w:ascii="Times New Roman" w:eastAsia="Times New Roman" w:hAnsi="Times New Roman" w:cs="Times New Roman"/>
        </w:rPr>
        <w:t>, [1973] SCR 313.</w:t>
      </w:r>
    </w:p>
  </w:footnote>
  <w:footnote w:id="11">
    <w:p w14:paraId="379740CF" w14:textId="54CB158F"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351532">
        <w:rPr>
          <w:rFonts w:ascii="Times New Roman" w:hAnsi="Times New Roman" w:cs="Times New Roman"/>
          <w:i/>
          <w:iCs/>
        </w:rPr>
        <w:t>R</w:t>
      </w:r>
      <w:r w:rsidRPr="001E71BD">
        <w:rPr>
          <w:rFonts w:ascii="Times New Roman" w:hAnsi="Times New Roman" w:cs="Times New Roman"/>
          <w:i/>
          <w:iCs/>
        </w:rPr>
        <w:t xml:space="preserve"> v Sparrow</w:t>
      </w:r>
      <w:r>
        <w:rPr>
          <w:rFonts w:ascii="Times New Roman" w:hAnsi="Times New Roman" w:cs="Times New Roman"/>
        </w:rPr>
        <w:t>,</w:t>
      </w:r>
      <w:r w:rsidRPr="001E71BD">
        <w:rPr>
          <w:rFonts w:ascii="Times New Roman" w:hAnsi="Times New Roman" w:cs="Times New Roman"/>
          <w:iCs/>
        </w:rPr>
        <w:t xml:space="preserve"> </w:t>
      </w:r>
      <w:r w:rsidRPr="009B4557">
        <w:rPr>
          <w:rFonts w:ascii="Times New Roman" w:hAnsi="Times New Roman" w:cs="Times New Roman"/>
          <w:iCs/>
        </w:rPr>
        <w:t>[1990] 1 SCR 1075 at 1103.</w:t>
      </w:r>
    </w:p>
  </w:footnote>
  <w:footnote w:id="12">
    <w:p w14:paraId="6E5692E9" w14:textId="1473E229" w:rsidR="0083324D" w:rsidRPr="009B4557" w:rsidRDefault="0083324D" w:rsidP="005021E9">
      <w:pPr>
        <w:pStyle w:val="FootnoteText"/>
        <w:jc w:val="both"/>
        <w:rPr>
          <w:rFonts w:ascii="Times New Roman" w:hAnsi="Times New Roman" w:cs="Times New Roman"/>
        </w:rPr>
      </w:pPr>
      <w:r w:rsidRPr="00C1337C">
        <w:rPr>
          <w:rStyle w:val="FootnoteReference"/>
          <w:rFonts w:ascii="Times New Roman" w:hAnsi="Times New Roman" w:cs="Times New Roman"/>
        </w:rPr>
        <w:footnoteRef/>
      </w:r>
      <w:r w:rsidRPr="00C1337C">
        <w:rPr>
          <w:rFonts w:ascii="Times New Roman" w:hAnsi="Times New Roman" w:cs="Times New Roman"/>
        </w:rPr>
        <w:t xml:space="preserve"> Kent McNeil, “</w:t>
      </w:r>
      <w:r w:rsidRPr="00C1337C">
        <w:rPr>
          <w:rFonts w:ascii="Times New Roman" w:eastAsia="Times New Roman" w:hAnsi="Times New Roman" w:cs="Times New Roman"/>
          <w:lang w:eastAsia="en-CA"/>
        </w:rPr>
        <w:t>Envisaging Constitutional Space for Aboriginal Governments,”</w:t>
      </w:r>
      <w:r w:rsidRPr="00C1337C">
        <w:rPr>
          <w:rFonts w:ascii="Times New Roman" w:hAnsi="Times New Roman" w:cs="Times New Roman"/>
        </w:rPr>
        <w:t xml:space="preserve"> </w:t>
      </w:r>
      <w:r w:rsidRPr="00C1337C">
        <w:rPr>
          <w:rFonts w:ascii="Times New Roman" w:eastAsia="Times New Roman" w:hAnsi="Times New Roman" w:cs="Times New Roman"/>
          <w:lang w:eastAsia="en-CA"/>
        </w:rPr>
        <w:t>(1993)</w:t>
      </w:r>
      <w:r w:rsidRPr="009B4557">
        <w:rPr>
          <w:rFonts w:ascii="Times New Roman" w:eastAsia="Times New Roman" w:hAnsi="Times New Roman" w:cs="Times New Roman"/>
          <w:lang w:eastAsia="en-CA"/>
        </w:rPr>
        <w:t xml:space="preserve"> 19 Queen's LJ 95 at 126.  </w:t>
      </w:r>
      <w:r w:rsidRPr="009B4557">
        <w:rPr>
          <w:rFonts w:ascii="Times New Roman" w:hAnsi="Times New Roman" w:cs="Times New Roman"/>
        </w:rPr>
        <w:t>See also Borrows</w:t>
      </w:r>
      <w:r>
        <w:rPr>
          <w:rFonts w:ascii="Times New Roman" w:hAnsi="Times New Roman" w:cs="Times New Roman"/>
        </w:rPr>
        <w:t>,</w:t>
      </w:r>
      <w:r w:rsidRPr="009B4557">
        <w:rPr>
          <w:rFonts w:ascii="Times New Roman" w:hAnsi="Times New Roman" w:cs="Times New Roman"/>
        </w:rPr>
        <w:t xml:space="preserve"> </w:t>
      </w:r>
      <w:bookmarkStart w:id="9" w:name="_Hlk39322894"/>
      <w:r w:rsidRPr="00BD7DB5">
        <w:rPr>
          <w:rFonts w:ascii="Times New Roman" w:hAnsi="Times New Roman" w:cs="Times New Roman"/>
        </w:rPr>
        <w:t>“Canada’s Colonial Constitution,”</w:t>
      </w:r>
      <w:r w:rsidRPr="009B4557">
        <w:rPr>
          <w:rFonts w:ascii="Times New Roman" w:hAnsi="Times New Roman" w:cs="Times New Roman"/>
        </w:rPr>
        <w:t xml:space="preserve"> </w:t>
      </w:r>
      <w:bookmarkEnd w:id="9"/>
      <w:r w:rsidRPr="009B4557">
        <w:rPr>
          <w:rFonts w:ascii="Times New Roman" w:hAnsi="Times New Roman" w:cs="Times New Roman"/>
          <w:i/>
          <w:iCs/>
        </w:rPr>
        <w:t>supra</w:t>
      </w:r>
      <w:r w:rsidRPr="009B4557">
        <w:rPr>
          <w:rFonts w:ascii="Times New Roman" w:hAnsi="Times New Roman" w:cs="Times New Roman"/>
        </w:rPr>
        <w:t xml:space="preserve"> </w:t>
      </w:r>
      <w:r>
        <w:rPr>
          <w:rFonts w:ascii="Times New Roman" w:hAnsi="Times New Roman" w:cs="Times New Roman"/>
        </w:rPr>
        <w:t xml:space="preserve">note 7, </w:t>
      </w:r>
      <w:r w:rsidRPr="009B4557">
        <w:rPr>
          <w:rFonts w:ascii="Times New Roman" w:hAnsi="Times New Roman" w:cs="Times New Roman"/>
        </w:rPr>
        <w:t>and Nichols,</w:t>
      </w:r>
      <w:r w:rsidRPr="00BD7DB5">
        <w:rPr>
          <w:rFonts w:ascii="Times New Roman" w:eastAsia="Times New Roman" w:hAnsi="Times New Roman" w:cs="Times New Roman"/>
          <w:sz w:val="22"/>
          <w:szCs w:val="22"/>
          <w:lang w:eastAsia="en-CA"/>
        </w:rPr>
        <w:t xml:space="preserve"> </w:t>
      </w:r>
      <w:r w:rsidRPr="00BD7DB5">
        <w:rPr>
          <w:rFonts w:ascii="Times New Roman" w:hAnsi="Times New Roman" w:cs="Times New Roman"/>
        </w:rPr>
        <w:t>“Sui Generis Sovereignties</w:t>
      </w:r>
      <w:r>
        <w:rPr>
          <w:rFonts w:ascii="Times New Roman" w:hAnsi="Times New Roman" w:cs="Times New Roman"/>
        </w:rPr>
        <w:t>,”</w:t>
      </w:r>
      <w:r w:rsidRPr="009B4557">
        <w:rPr>
          <w:rFonts w:ascii="Times New Roman" w:hAnsi="Times New Roman" w:cs="Times New Roman"/>
        </w:rPr>
        <w:t xml:space="preserve"> </w:t>
      </w:r>
      <w:r w:rsidRPr="009B4557">
        <w:rPr>
          <w:rFonts w:ascii="Times New Roman" w:hAnsi="Times New Roman" w:cs="Times New Roman"/>
          <w:i/>
          <w:iCs/>
        </w:rPr>
        <w:t>supra</w:t>
      </w:r>
      <w:r>
        <w:rPr>
          <w:rFonts w:ascii="Times New Roman" w:hAnsi="Times New Roman" w:cs="Times New Roman"/>
          <w:iCs/>
        </w:rPr>
        <w:t xml:space="preserve"> note 5</w:t>
      </w:r>
      <w:r w:rsidRPr="00C21D01">
        <w:rPr>
          <w:rFonts w:ascii="Times New Roman" w:hAnsi="Times New Roman" w:cs="Times New Roman"/>
        </w:rPr>
        <w:t>.</w:t>
      </w:r>
    </w:p>
  </w:footnote>
  <w:footnote w:id="13">
    <w:p w14:paraId="520B1EBC" w14:textId="539FDD80"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AA6113">
        <w:rPr>
          <w:rFonts w:ascii="Times New Roman" w:hAnsi="Times New Roman" w:cs="Times New Roman"/>
        </w:rPr>
        <w:t xml:space="preserve">In </w:t>
      </w:r>
      <w:r>
        <w:rPr>
          <w:rFonts w:ascii="Times New Roman" w:hAnsi="Times New Roman" w:cs="Times New Roman"/>
          <w:i/>
          <w:iCs/>
        </w:rPr>
        <w:t>R v</w:t>
      </w:r>
      <w:r w:rsidRPr="00AA6113">
        <w:rPr>
          <w:rFonts w:ascii="Times New Roman" w:hAnsi="Times New Roman" w:cs="Times New Roman"/>
          <w:i/>
          <w:iCs/>
        </w:rPr>
        <w:t xml:space="preserve"> </w:t>
      </w:r>
      <w:proofErr w:type="spellStart"/>
      <w:r w:rsidRPr="00AA6113">
        <w:rPr>
          <w:rFonts w:ascii="Times New Roman" w:hAnsi="Times New Roman" w:cs="Times New Roman"/>
          <w:i/>
          <w:iCs/>
        </w:rPr>
        <w:t>Pamajewon</w:t>
      </w:r>
      <w:proofErr w:type="spellEnd"/>
      <w:r>
        <w:rPr>
          <w:rFonts w:ascii="Times New Roman" w:hAnsi="Times New Roman" w:cs="Times New Roman"/>
        </w:rPr>
        <w:t>, [1996] 2 SCR 821 at para</w:t>
      </w:r>
      <w:r w:rsidRPr="00AA6113">
        <w:rPr>
          <w:rFonts w:ascii="Times New Roman" w:hAnsi="Times New Roman" w:cs="Times New Roman"/>
        </w:rPr>
        <w:t xml:space="preserve"> 24, the Supreme Court held</w:t>
      </w:r>
      <w:r>
        <w:rPr>
          <w:rFonts w:ascii="Times New Roman" w:hAnsi="Times New Roman" w:cs="Times New Roman"/>
        </w:rPr>
        <w:t>,</w:t>
      </w:r>
      <w:r w:rsidRPr="00AA6113">
        <w:rPr>
          <w:rFonts w:ascii="Times New Roman" w:hAnsi="Times New Roman" w:cs="Times New Roman"/>
        </w:rPr>
        <w:t xml:space="preserve"> “without deciding that </w:t>
      </w:r>
      <w:r>
        <w:rPr>
          <w:rFonts w:ascii="Times New Roman" w:hAnsi="Times New Roman" w:cs="Times New Roman"/>
        </w:rPr>
        <w:t>s 35</w:t>
      </w:r>
      <w:r w:rsidRPr="00AA6113">
        <w:rPr>
          <w:rFonts w:ascii="Times New Roman" w:hAnsi="Times New Roman" w:cs="Times New Roman"/>
        </w:rPr>
        <w:t>(1) includes self-government claims</w:t>
      </w:r>
      <w:r>
        <w:rPr>
          <w:rFonts w:ascii="Times New Roman" w:hAnsi="Times New Roman" w:cs="Times New Roman"/>
        </w:rPr>
        <w:t>,</w:t>
      </w:r>
      <w:r w:rsidRPr="00AA6113">
        <w:rPr>
          <w:rFonts w:ascii="Times New Roman" w:hAnsi="Times New Roman" w:cs="Times New Roman"/>
        </w:rPr>
        <w:t xml:space="preserve">” that if self-government was included in </w:t>
      </w:r>
      <w:r>
        <w:rPr>
          <w:rFonts w:ascii="Times New Roman" w:hAnsi="Times New Roman" w:cs="Times New Roman"/>
        </w:rPr>
        <w:t>s 35</w:t>
      </w:r>
      <w:r w:rsidRPr="00AA6113">
        <w:rPr>
          <w:rFonts w:ascii="Times New Roman" w:hAnsi="Times New Roman" w:cs="Times New Roman"/>
        </w:rPr>
        <w:t xml:space="preserve">, any such rights would have to be proven by the same test used to prove other Aboriginal rights, established in </w:t>
      </w:r>
      <w:r>
        <w:rPr>
          <w:rFonts w:ascii="Times New Roman" w:hAnsi="Times New Roman" w:cs="Times New Roman"/>
          <w:i/>
          <w:iCs/>
        </w:rPr>
        <w:t>R v</w:t>
      </w:r>
      <w:r w:rsidRPr="00AA6113">
        <w:rPr>
          <w:rFonts w:ascii="Times New Roman" w:hAnsi="Times New Roman" w:cs="Times New Roman"/>
          <w:i/>
          <w:iCs/>
        </w:rPr>
        <w:t xml:space="preserve"> Van der Peet, </w:t>
      </w:r>
      <w:r w:rsidRPr="00AA6113">
        <w:rPr>
          <w:rFonts w:ascii="Times New Roman" w:hAnsi="Times New Roman" w:cs="Times New Roman"/>
        </w:rPr>
        <w:t xml:space="preserve">[1996] 2 SCR 507.  The restriction placed on the right of Aboriginal self-government in </w:t>
      </w:r>
      <w:proofErr w:type="spellStart"/>
      <w:r w:rsidRPr="00AA6113">
        <w:rPr>
          <w:rFonts w:ascii="Times New Roman" w:hAnsi="Times New Roman" w:cs="Times New Roman"/>
          <w:i/>
          <w:iCs/>
        </w:rPr>
        <w:t>Pamajewon</w:t>
      </w:r>
      <w:proofErr w:type="spellEnd"/>
      <w:r w:rsidRPr="00AA6113">
        <w:rPr>
          <w:rFonts w:ascii="Times New Roman" w:hAnsi="Times New Roman" w:cs="Times New Roman"/>
        </w:rPr>
        <w:t xml:space="preserve"> has been roundly criticized as unduly limiting First Nations’ ability to self-govern: see, for example, BW Morse, “Permafrost Rights: Aboriginal Self-Government and the Supreme Court in </w:t>
      </w:r>
      <w:r>
        <w:rPr>
          <w:rFonts w:ascii="Times New Roman" w:hAnsi="Times New Roman" w:cs="Times New Roman"/>
          <w:i/>
          <w:iCs/>
        </w:rPr>
        <w:t>R. v.</w:t>
      </w:r>
      <w:r w:rsidRPr="00AA6113">
        <w:rPr>
          <w:rFonts w:ascii="Times New Roman" w:hAnsi="Times New Roman" w:cs="Times New Roman"/>
          <w:i/>
          <w:iCs/>
        </w:rPr>
        <w:t xml:space="preserve"> </w:t>
      </w:r>
      <w:proofErr w:type="spellStart"/>
      <w:r w:rsidRPr="00AA6113">
        <w:rPr>
          <w:rFonts w:ascii="Times New Roman" w:hAnsi="Times New Roman" w:cs="Times New Roman"/>
          <w:i/>
          <w:iCs/>
        </w:rPr>
        <w:t>Pamajewon</w:t>
      </w:r>
      <w:proofErr w:type="spellEnd"/>
      <w:r>
        <w:rPr>
          <w:rFonts w:ascii="Times New Roman" w:hAnsi="Times New Roman" w:cs="Times New Roman"/>
        </w:rPr>
        <w:t>” (1997) 42 McGill LJ</w:t>
      </w:r>
      <w:r w:rsidRPr="00AA6113">
        <w:rPr>
          <w:rFonts w:ascii="Times New Roman" w:hAnsi="Times New Roman" w:cs="Times New Roman"/>
        </w:rPr>
        <w:t xml:space="preserve"> 1011; </w:t>
      </w:r>
      <w:r>
        <w:rPr>
          <w:rFonts w:ascii="Times New Roman" w:hAnsi="Times New Roman" w:cs="Times New Roman"/>
        </w:rPr>
        <w:t xml:space="preserve">PJ </w:t>
      </w:r>
      <w:r w:rsidRPr="00AA6113">
        <w:rPr>
          <w:rFonts w:ascii="Times New Roman" w:hAnsi="Times New Roman" w:cs="Times New Roman"/>
        </w:rPr>
        <w:t>Vicaire, “Two Roads Diverged: A Comparative Analysis of Indigenous Rights in a North American Constitution</w:t>
      </w:r>
      <w:r>
        <w:rPr>
          <w:rFonts w:ascii="Times New Roman" w:hAnsi="Times New Roman" w:cs="Times New Roman"/>
        </w:rPr>
        <w:t>al Context” (2013) 58 McGill LJ</w:t>
      </w:r>
      <w:r w:rsidRPr="00AA6113">
        <w:rPr>
          <w:rFonts w:ascii="Times New Roman" w:hAnsi="Times New Roman" w:cs="Times New Roman"/>
        </w:rPr>
        <w:t xml:space="preserve"> 607 at </w:t>
      </w:r>
      <w:r>
        <w:rPr>
          <w:rFonts w:ascii="Times New Roman" w:hAnsi="Times New Roman" w:cs="Times New Roman"/>
        </w:rPr>
        <w:t>656–657 (Vicaire)</w:t>
      </w:r>
      <w:r w:rsidRPr="00AA6113">
        <w:rPr>
          <w:rFonts w:ascii="Times New Roman" w:hAnsi="Times New Roman" w:cs="Times New Roman"/>
        </w:rPr>
        <w:t xml:space="preserve">; </w:t>
      </w:r>
      <w:r>
        <w:rPr>
          <w:rFonts w:ascii="Times New Roman" w:hAnsi="Times New Roman" w:cs="Times New Roman"/>
        </w:rPr>
        <w:t xml:space="preserve">JE </w:t>
      </w:r>
      <w:r w:rsidRPr="00AA6113">
        <w:rPr>
          <w:rFonts w:ascii="Times New Roman" w:hAnsi="Times New Roman" w:cs="Times New Roman"/>
        </w:rPr>
        <w:t>Dalton, “Exceptions, Excuses and Norms: Aboriginal Self-Determination in Canada: Protections Afforded by the Judiciary and G</w:t>
      </w:r>
      <w:r>
        <w:rPr>
          <w:rFonts w:ascii="Times New Roman" w:hAnsi="Times New Roman" w:cs="Times New Roman"/>
        </w:rPr>
        <w:t>overnment” (2006) 21:1 Can JL</w:t>
      </w:r>
      <w:r w:rsidRPr="00AA6113">
        <w:rPr>
          <w:rFonts w:ascii="Times New Roman" w:hAnsi="Times New Roman" w:cs="Times New Roman"/>
        </w:rPr>
        <w:t xml:space="preserve"> &amp; Soc’y 11 at </w:t>
      </w:r>
      <w:r>
        <w:rPr>
          <w:rFonts w:ascii="Times New Roman" w:hAnsi="Times New Roman" w:cs="Times New Roman"/>
        </w:rPr>
        <w:t>19–20</w:t>
      </w:r>
      <w:r w:rsidRPr="00AA6113">
        <w:rPr>
          <w:rFonts w:ascii="Times New Roman" w:hAnsi="Times New Roman" w:cs="Times New Roman"/>
        </w:rPr>
        <w:t xml:space="preserve">. However, the Court has yet to revisit its ruling, although it has had at least two opportunities to do so. In 2008, the Court denied leave to hear a case which would have required it to squarely reconsider its decision in </w:t>
      </w:r>
      <w:proofErr w:type="spellStart"/>
      <w:r w:rsidRPr="00AA6113">
        <w:rPr>
          <w:rFonts w:ascii="Times New Roman" w:hAnsi="Times New Roman" w:cs="Times New Roman"/>
          <w:i/>
          <w:iCs/>
        </w:rPr>
        <w:t>Pamajewon</w:t>
      </w:r>
      <w:proofErr w:type="spellEnd"/>
      <w:r w:rsidRPr="00D1024F">
        <w:rPr>
          <w:rFonts w:ascii="Times New Roman" w:hAnsi="Times New Roman" w:cs="Times New Roman"/>
        </w:rPr>
        <w:t>: see</w:t>
      </w:r>
      <w:r w:rsidRPr="00AA6113">
        <w:rPr>
          <w:rFonts w:ascii="Times New Roman" w:hAnsi="Times New Roman" w:cs="Times New Roman"/>
          <w:i/>
          <w:iCs/>
        </w:rPr>
        <w:t xml:space="preserve"> </w:t>
      </w:r>
      <w:proofErr w:type="spellStart"/>
      <w:r w:rsidRPr="00AA6113">
        <w:rPr>
          <w:rFonts w:ascii="Times New Roman" w:hAnsi="Times New Roman" w:cs="Times New Roman"/>
          <w:i/>
          <w:iCs/>
        </w:rPr>
        <w:t>Mississaugas</w:t>
      </w:r>
      <w:proofErr w:type="spellEnd"/>
      <w:r w:rsidRPr="00AA6113">
        <w:rPr>
          <w:rFonts w:ascii="Times New Roman" w:hAnsi="Times New Roman" w:cs="Times New Roman"/>
          <w:i/>
          <w:iCs/>
        </w:rPr>
        <w:t xml:space="preserve"> of Scug</w:t>
      </w:r>
      <w:r>
        <w:rPr>
          <w:rFonts w:ascii="Times New Roman" w:hAnsi="Times New Roman" w:cs="Times New Roman"/>
          <w:i/>
          <w:iCs/>
        </w:rPr>
        <w:t>og Island First Nation v</w:t>
      </w:r>
      <w:r w:rsidRPr="00AA6113">
        <w:rPr>
          <w:rFonts w:ascii="Times New Roman" w:hAnsi="Times New Roman" w:cs="Times New Roman"/>
          <w:i/>
          <w:iCs/>
        </w:rPr>
        <w:t xml:space="preserve"> National Automobile, Aerospace, Transportation and General Workers Union of Canada (CAW-Canada) et al.,</w:t>
      </w:r>
      <w:r w:rsidRPr="00AA6113">
        <w:rPr>
          <w:rFonts w:ascii="Times New Roman" w:hAnsi="Times New Roman" w:cs="Times New Roman"/>
        </w:rPr>
        <w:t xml:space="preserve"> 2008 CanLII 18945 (SCC).  In 2011, it denied leave to hear a case that would have allowed it to directly address the right of self-government again: see </w:t>
      </w:r>
      <w:r>
        <w:rPr>
          <w:rFonts w:ascii="Times New Roman" w:hAnsi="Times New Roman" w:cs="Times New Roman"/>
          <w:i/>
          <w:iCs/>
        </w:rPr>
        <w:t>Chief Mountain et al. v</w:t>
      </w:r>
      <w:r w:rsidRPr="00AA6113">
        <w:rPr>
          <w:rFonts w:ascii="Times New Roman" w:hAnsi="Times New Roman" w:cs="Times New Roman"/>
          <w:i/>
          <w:iCs/>
        </w:rPr>
        <w:t xml:space="preserve"> Attorney General of Canada, et al.</w:t>
      </w:r>
      <w:r w:rsidRPr="00AA6113">
        <w:rPr>
          <w:rFonts w:ascii="Times New Roman" w:hAnsi="Times New Roman" w:cs="Times New Roman"/>
        </w:rPr>
        <w:t>, 2013 CanLII 53406 (SCC).</w:t>
      </w:r>
    </w:p>
  </w:footnote>
  <w:footnote w:id="14">
    <w:p w14:paraId="0094EE57" w14:textId="2CF6185E"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 xml:space="preserve">Honouring the Truth, Reconciling for the Future </w:t>
      </w:r>
      <w:r w:rsidRPr="00C21D01">
        <w:rPr>
          <w:rFonts w:ascii="Times New Roman" w:hAnsi="Times New Roman" w:cs="Times New Roman"/>
          <w:i/>
          <w:iCs/>
        </w:rPr>
        <w:t>–</w:t>
      </w:r>
      <w:r w:rsidRPr="009B4557">
        <w:rPr>
          <w:rFonts w:ascii="Times New Roman" w:hAnsi="Times New Roman" w:cs="Times New Roman"/>
          <w:i/>
        </w:rPr>
        <w:t xml:space="preserve"> Summary of the Final Report of </w:t>
      </w:r>
      <w:r>
        <w:rPr>
          <w:rFonts w:ascii="Times New Roman" w:hAnsi="Times New Roman" w:cs="Times New Roman"/>
          <w:i/>
        </w:rPr>
        <w:t xml:space="preserve">the </w:t>
      </w:r>
      <w:r w:rsidRPr="009B4557">
        <w:rPr>
          <w:rFonts w:ascii="Times New Roman" w:hAnsi="Times New Roman" w:cs="Times New Roman"/>
          <w:i/>
        </w:rPr>
        <w:t>Truth and Reconciliation Commission of Canada</w:t>
      </w:r>
      <w:r w:rsidRPr="009B4557">
        <w:rPr>
          <w:rFonts w:ascii="Times New Roman" w:hAnsi="Times New Roman" w:cs="Times New Roman"/>
        </w:rPr>
        <w:t xml:space="preserve"> (</w:t>
      </w:r>
      <w:r w:rsidRPr="00A62F01">
        <w:rPr>
          <w:rFonts w:ascii="Times New Roman" w:hAnsi="Times New Roman" w:cs="Times New Roman"/>
        </w:rPr>
        <w:t>Winnipeg: Truth a</w:t>
      </w:r>
      <w:r>
        <w:rPr>
          <w:rFonts w:ascii="Times New Roman" w:hAnsi="Times New Roman" w:cs="Times New Roman"/>
        </w:rPr>
        <w:t xml:space="preserve">nd Reconciliation Commission of </w:t>
      </w:r>
      <w:r w:rsidRPr="00A62F01">
        <w:rPr>
          <w:rFonts w:ascii="Times New Roman" w:hAnsi="Times New Roman" w:cs="Times New Roman"/>
        </w:rPr>
        <w:t xml:space="preserve">Canada, </w:t>
      </w:r>
      <w:r w:rsidRPr="009B4557">
        <w:rPr>
          <w:rFonts w:ascii="Times New Roman" w:hAnsi="Times New Roman" w:cs="Times New Roman"/>
        </w:rPr>
        <w:t xml:space="preserve">2015) at </w:t>
      </w:r>
      <w:r>
        <w:rPr>
          <w:rFonts w:ascii="Times New Roman" w:hAnsi="Times New Roman" w:cs="Times New Roman"/>
        </w:rPr>
        <w:t>202–203</w:t>
      </w:r>
      <w:r w:rsidRPr="009B4557">
        <w:rPr>
          <w:rFonts w:ascii="Times New Roman" w:hAnsi="Times New Roman" w:cs="Times New Roman"/>
        </w:rPr>
        <w:t>.</w:t>
      </w:r>
    </w:p>
  </w:footnote>
  <w:footnote w:id="15">
    <w:p w14:paraId="7875F441" w14:textId="68395A1B"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Peter Hogg, </w:t>
      </w:r>
      <w:r w:rsidRPr="009B4557">
        <w:rPr>
          <w:rFonts w:ascii="Times New Roman" w:hAnsi="Times New Roman" w:cs="Times New Roman"/>
          <w:i/>
        </w:rPr>
        <w:t>Constitutional Law of Canada</w:t>
      </w:r>
      <w:r w:rsidRPr="009B4557">
        <w:rPr>
          <w:rFonts w:ascii="Times New Roman" w:hAnsi="Times New Roman" w:cs="Times New Roman"/>
        </w:rPr>
        <w:t>, 2014 Student Edition</w:t>
      </w:r>
      <w:r>
        <w:rPr>
          <w:rFonts w:ascii="Times New Roman" w:hAnsi="Times New Roman" w:cs="Times New Roman"/>
        </w:rPr>
        <w:t xml:space="preserve"> (Toronto: Thomson Reuters Canada Limited, 2014)</w:t>
      </w:r>
      <w:r w:rsidRPr="009B4557">
        <w:rPr>
          <w:rFonts w:ascii="Times New Roman" w:hAnsi="Times New Roman" w:cs="Times New Roman"/>
        </w:rPr>
        <w:t>, c 28 at 2-3</w:t>
      </w:r>
      <w:r>
        <w:rPr>
          <w:rFonts w:ascii="Times New Roman" w:hAnsi="Times New Roman" w:cs="Times New Roman"/>
        </w:rPr>
        <w:t>;</w:t>
      </w:r>
      <w:r w:rsidRPr="009B4557">
        <w:rPr>
          <w:rFonts w:ascii="Times New Roman" w:hAnsi="Times New Roman" w:cs="Times New Roman"/>
        </w:rPr>
        <w:t xml:space="preserve"> Cathy Bell, “Have You Ever Wondered Where </w:t>
      </w:r>
      <w:r>
        <w:rPr>
          <w:rFonts w:ascii="Times New Roman" w:hAnsi="Times New Roman" w:cs="Times New Roman"/>
        </w:rPr>
        <w:t>s 91</w:t>
      </w:r>
      <w:r w:rsidRPr="009B4557">
        <w:rPr>
          <w:rFonts w:ascii="Times New Roman" w:hAnsi="Times New Roman" w:cs="Times New Roman"/>
        </w:rPr>
        <w:t>(24) Comes From?” (2003) 17 Can J Con</w:t>
      </w:r>
      <w:r>
        <w:rPr>
          <w:rFonts w:ascii="Times New Roman" w:hAnsi="Times New Roman" w:cs="Times New Roman"/>
        </w:rPr>
        <w:t xml:space="preserve">st </w:t>
      </w:r>
      <w:r w:rsidRPr="009B4557">
        <w:rPr>
          <w:rFonts w:ascii="Times New Roman" w:hAnsi="Times New Roman" w:cs="Times New Roman"/>
        </w:rPr>
        <w:t>L 285.</w:t>
      </w:r>
    </w:p>
  </w:footnote>
  <w:footnote w:id="16">
    <w:p w14:paraId="434B6F6D" w14:textId="28D59412"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Henderson, </w:t>
      </w:r>
      <w:r w:rsidRPr="009B4557">
        <w:rPr>
          <w:rFonts w:ascii="Times New Roman" w:hAnsi="Times New Roman" w:cs="Times New Roman"/>
          <w:i/>
        </w:rPr>
        <w:t>supra</w:t>
      </w:r>
      <w:r>
        <w:rPr>
          <w:rFonts w:ascii="Times New Roman" w:hAnsi="Times New Roman" w:cs="Times New Roman"/>
        </w:rPr>
        <w:t xml:space="preserve"> note 5,</w:t>
      </w:r>
      <w:r w:rsidRPr="009B4557">
        <w:rPr>
          <w:rFonts w:ascii="Times New Roman" w:eastAsia="Times New Roman" w:hAnsi="Times New Roman" w:cs="Times New Roman"/>
          <w:color w:val="000000"/>
          <w:lang w:eastAsia="en-CA"/>
        </w:rPr>
        <w:t xml:space="preserve"> and Borrows</w:t>
      </w:r>
      <w:r>
        <w:rPr>
          <w:rFonts w:ascii="Times New Roman" w:eastAsia="Times New Roman" w:hAnsi="Times New Roman" w:cs="Times New Roman"/>
          <w:color w:val="000000"/>
          <w:lang w:eastAsia="en-CA"/>
        </w:rPr>
        <w:t>,</w:t>
      </w:r>
      <w:r w:rsidRPr="009B4557">
        <w:rPr>
          <w:rFonts w:ascii="Times New Roman" w:eastAsia="Times New Roman" w:hAnsi="Times New Roman" w:cs="Times New Roman"/>
          <w:color w:val="000000"/>
          <w:lang w:eastAsia="en-CA"/>
        </w:rPr>
        <w:t xml:space="preserve"> </w:t>
      </w:r>
      <w:bookmarkStart w:id="10" w:name="_Hlk39327363"/>
      <w:r w:rsidRPr="00242F59">
        <w:rPr>
          <w:rFonts w:ascii="Times New Roman" w:eastAsia="Times New Roman" w:hAnsi="Times New Roman" w:cs="Times New Roman"/>
          <w:color w:val="000000"/>
          <w:lang w:eastAsia="en-CA"/>
        </w:rPr>
        <w:t>“Canada’s Colonial Constitution,”</w:t>
      </w:r>
      <w:r w:rsidRPr="009B4557">
        <w:rPr>
          <w:rFonts w:ascii="Times New Roman" w:eastAsia="Times New Roman" w:hAnsi="Times New Roman" w:cs="Times New Roman"/>
          <w:color w:val="000000"/>
          <w:lang w:eastAsia="en-CA"/>
        </w:rPr>
        <w:t xml:space="preserve"> </w:t>
      </w:r>
      <w:bookmarkEnd w:id="10"/>
      <w:r w:rsidRPr="009B4557">
        <w:rPr>
          <w:rFonts w:ascii="Times New Roman" w:eastAsia="Times New Roman" w:hAnsi="Times New Roman" w:cs="Times New Roman"/>
          <w:i/>
          <w:color w:val="000000"/>
          <w:lang w:eastAsia="en-CA"/>
        </w:rPr>
        <w:t>supra</w:t>
      </w:r>
      <w:r>
        <w:rPr>
          <w:rFonts w:ascii="Times New Roman" w:eastAsia="Times New Roman" w:hAnsi="Times New Roman" w:cs="Times New Roman"/>
          <w:color w:val="000000"/>
          <w:lang w:eastAsia="en-CA"/>
        </w:rPr>
        <w:t xml:space="preserve"> note 7</w:t>
      </w:r>
      <w:r w:rsidRPr="009B4557">
        <w:rPr>
          <w:rFonts w:ascii="Times New Roman" w:eastAsia="Times New Roman" w:hAnsi="Times New Roman" w:cs="Times New Roman"/>
          <w:i/>
          <w:color w:val="000000"/>
          <w:lang w:eastAsia="en-CA"/>
        </w:rPr>
        <w:t>.</w:t>
      </w:r>
    </w:p>
  </w:footnote>
  <w:footnote w:id="17">
    <w:p w14:paraId="47A1ECBE" w14:textId="72FAAD78"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eastAsia="Times New Roman" w:hAnsi="Times New Roman" w:cs="Times New Roman"/>
          <w:color w:val="000000"/>
          <w:lang w:eastAsia="en-CA"/>
        </w:rPr>
        <w:t>For more of this, see Henderson</w:t>
      </w:r>
      <w:r>
        <w:rPr>
          <w:rFonts w:ascii="Times New Roman" w:eastAsia="Times New Roman" w:hAnsi="Times New Roman" w:cs="Times New Roman"/>
          <w:color w:val="000000"/>
          <w:lang w:eastAsia="en-CA"/>
        </w:rPr>
        <w:t xml:space="preserve">, </w:t>
      </w:r>
      <w:r>
        <w:rPr>
          <w:rFonts w:ascii="Times New Roman" w:eastAsia="Times New Roman" w:hAnsi="Times New Roman" w:cs="Times New Roman"/>
          <w:i/>
          <w:color w:val="000000"/>
          <w:lang w:eastAsia="en-CA"/>
        </w:rPr>
        <w:t>ibid</w:t>
      </w:r>
      <w:r w:rsidRPr="009B4557">
        <w:rPr>
          <w:rFonts w:ascii="Times New Roman" w:eastAsia="Times New Roman" w:hAnsi="Times New Roman" w:cs="Times New Roman"/>
          <w:color w:val="000000"/>
          <w:lang w:eastAsia="en-CA"/>
        </w:rPr>
        <w:t>, and Nichols</w:t>
      </w:r>
      <w:r>
        <w:rPr>
          <w:rFonts w:ascii="Times New Roman" w:eastAsia="Times New Roman" w:hAnsi="Times New Roman" w:cs="Times New Roman"/>
          <w:color w:val="000000"/>
          <w:lang w:eastAsia="en-CA"/>
        </w:rPr>
        <w:t>,</w:t>
      </w:r>
      <w:r w:rsidRPr="009B4557">
        <w:rPr>
          <w:rFonts w:ascii="Times New Roman" w:eastAsia="Times New Roman" w:hAnsi="Times New Roman" w:cs="Times New Roman"/>
          <w:lang w:eastAsia="en-CA"/>
        </w:rPr>
        <w:t xml:space="preserve"> </w:t>
      </w:r>
      <w:r w:rsidRPr="00B323B3">
        <w:rPr>
          <w:rFonts w:ascii="Times New Roman" w:eastAsia="Times New Roman" w:hAnsi="Times New Roman" w:cs="Times New Roman"/>
          <w:lang w:eastAsia="en-CA"/>
        </w:rPr>
        <w:t xml:space="preserve">“Sui Generis Sovereignties,” </w:t>
      </w:r>
      <w:r w:rsidRPr="009B4557">
        <w:rPr>
          <w:rFonts w:ascii="Times New Roman" w:eastAsia="Times New Roman" w:hAnsi="Times New Roman" w:cs="Times New Roman"/>
          <w:i/>
          <w:color w:val="000000"/>
          <w:lang w:eastAsia="en-CA"/>
        </w:rPr>
        <w:t>supra</w:t>
      </w:r>
      <w:r>
        <w:rPr>
          <w:rFonts w:ascii="Times New Roman" w:eastAsia="Times New Roman" w:hAnsi="Times New Roman" w:cs="Times New Roman"/>
          <w:color w:val="000000"/>
          <w:lang w:eastAsia="en-CA"/>
        </w:rPr>
        <w:t xml:space="preserve"> note 5</w:t>
      </w:r>
      <w:r w:rsidRPr="009B4557">
        <w:rPr>
          <w:rFonts w:ascii="Times New Roman" w:eastAsia="Times New Roman" w:hAnsi="Times New Roman" w:cs="Times New Roman"/>
          <w:color w:val="000000"/>
          <w:lang w:eastAsia="en-CA"/>
        </w:rPr>
        <w:t xml:space="preserve">.    </w:t>
      </w:r>
    </w:p>
  </w:footnote>
  <w:footnote w:id="18">
    <w:p w14:paraId="6BFB7E16" w14:textId="2F610EFB" w:rsidR="0083324D" w:rsidRPr="00351532" w:rsidRDefault="0083324D">
      <w:pPr>
        <w:pStyle w:val="FootnoteText"/>
        <w:rPr>
          <w:rFonts w:ascii="Times New Roman" w:hAnsi="Times New Roman" w:cs="Times New Roman"/>
        </w:rPr>
      </w:pPr>
      <w:r w:rsidRPr="00351532">
        <w:rPr>
          <w:rStyle w:val="FootnoteReference"/>
          <w:rFonts w:ascii="Times New Roman" w:hAnsi="Times New Roman" w:cs="Times New Roman"/>
        </w:rPr>
        <w:footnoteRef/>
      </w:r>
      <w:r w:rsidRPr="00351532">
        <w:rPr>
          <w:rFonts w:ascii="Times New Roman" w:hAnsi="Times New Roman" w:cs="Times New Roman"/>
        </w:rPr>
        <w:t xml:space="preserve"> </w:t>
      </w:r>
      <w:r w:rsidRPr="00351532">
        <w:rPr>
          <w:rFonts w:ascii="Times New Roman" w:hAnsi="Times New Roman" w:cs="Times New Roman"/>
          <w:i/>
          <w:iCs/>
        </w:rPr>
        <w:t>Supra</w:t>
      </w:r>
      <w:r>
        <w:rPr>
          <w:rFonts w:ascii="Times New Roman" w:hAnsi="Times New Roman" w:cs="Times New Roman"/>
          <w:i/>
          <w:iCs/>
        </w:rPr>
        <w:t xml:space="preserve"> </w:t>
      </w:r>
      <w:r>
        <w:rPr>
          <w:rFonts w:ascii="Times New Roman" w:hAnsi="Times New Roman" w:cs="Times New Roman"/>
        </w:rPr>
        <w:t>note 6.</w:t>
      </w:r>
    </w:p>
  </w:footnote>
  <w:footnote w:id="19">
    <w:p w14:paraId="23674CFA" w14:textId="2341905F"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[1903] AC 73.</w:t>
      </w:r>
    </w:p>
  </w:footnote>
  <w:footnote w:id="20">
    <w:p w14:paraId="76AA87E9" w14:textId="292475D8"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Leonard I Rotman, “Provincial Fiduciary Obligations to First Nations: the Nexus between Governmental Power and Responsibility” (1994) 32 </w:t>
      </w:r>
      <w:r w:rsidRPr="00684B3E">
        <w:rPr>
          <w:rFonts w:ascii="Times New Roman" w:hAnsi="Times New Roman" w:cs="Times New Roman"/>
          <w:iCs/>
        </w:rPr>
        <w:t>Osgoode Hall LJ</w:t>
      </w:r>
      <w:r w:rsidRPr="009B4557">
        <w:rPr>
          <w:rFonts w:ascii="Times New Roman" w:hAnsi="Times New Roman" w:cs="Times New Roman"/>
          <w:i/>
        </w:rPr>
        <w:t xml:space="preserve"> </w:t>
      </w:r>
      <w:r w:rsidRPr="009B4557">
        <w:rPr>
          <w:rFonts w:ascii="Times New Roman" w:hAnsi="Times New Roman" w:cs="Times New Roman"/>
        </w:rPr>
        <w:t>735.  These decisions left Indigenous treaty signatories without any legal recourse for enforcing key treaty promises for decades.</w:t>
      </w:r>
    </w:p>
  </w:footnote>
  <w:footnote w:id="21">
    <w:p w14:paraId="68A93017" w14:textId="77777777" w:rsidR="0083324D" w:rsidRPr="009B4557" w:rsidRDefault="0083324D" w:rsidP="008A17FC">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The</w:t>
      </w:r>
      <w:r>
        <w:rPr>
          <w:rFonts w:ascii="Times New Roman" w:hAnsi="Times New Roman" w:cs="Times New Roman"/>
        </w:rPr>
        <w:t>s</w:t>
      </w:r>
      <w:r w:rsidRPr="009B4557">
        <w:rPr>
          <w:rFonts w:ascii="Times New Roman" w:hAnsi="Times New Roman" w:cs="Times New Roman"/>
        </w:rPr>
        <w:t xml:space="preserve">e include the terms of treaties, other federal laws, the </w:t>
      </w:r>
      <w:r w:rsidRPr="009B4557">
        <w:rPr>
          <w:rFonts w:ascii="Times New Roman" w:hAnsi="Times New Roman" w:cs="Times New Roman"/>
          <w:i/>
        </w:rPr>
        <w:t>Indian Act</w:t>
      </w:r>
      <w:r>
        <w:rPr>
          <w:rFonts w:ascii="Times New Roman" w:hAnsi="Times New Roman" w:cs="Times New Roman"/>
          <w:iCs/>
        </w:rPr>
        <w:t>,</w:t>
      </w:r>
      <w:r w:rsidRPr="009B4557">
        <w:rPr>
          <w:rFonts w:ascii="Times New Roman" w:hAnsi="Times New Roman" w:cs="Times New Roman"/>
        </w:rPr>
        <w:t xml:space="preserve"> and regulations and bylaws passed thereunder.</w:t>
      </w:r>
    </w:p>
  </w:footnote>
  <w:footnote w:id="22">
    <w:p w14:paraId="6E1BF310" w14:textId="5B4BF14B"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Borrows</w:t>
      </w:r>
      <w:r>
        <w:rPr>
          <w:rFonts w:ascii="Times New Roman" w:hAnsi="Times New Roman" w:cs="Times New Roman"/>
        </w:rPr>
        <w:t>,</w:t>
      </w:r>
      <w:r w:rsidRPr="009B4557">
        <w:rPr>
          <w:rFonts w:ascii="Times New Roman" w:hAnsi="Times New Roman" w:cs="Times New Roman"/>
        </w:rPr>
        <w:t xml:space="preserve"> </w:t>
      </w:r>
      <w:r w:rsidRPr="008A17FC">
        <w:rPr>
          <w:rFonts w:ascii="Times New Roman" w:hAnsi="Times New Roman" w:cs="Times New Roman"/>
        </w:rPr>
        <w:t>“Canada’s Colonial Constitution,”</w:t>
      </w:r>
      <w:r w:rsidRPr="009B4557">
        <w:rPr>
          <w:rFonts w:ascii="Times New Roman" w:hAnsi="Times New Roman" w:cs="Times New Roman"/>
        </w:rPr>
        <w:t xml:space="preserve"> </w:t>
      </w:r>
      <w:r w:rsidRPr="009B4557">
        <w:rPr>
          <w:rFonts w:ascii="Times New Roman" w:eastAsia="Times New Roman" w:hAnsi="Times New Roman" w:cs="Times New Roman"/>
          <w:i/>
          <w:color w:val="000000"/>
          <w:lang w:eastAsia="en-CA"/>
        </w:rPr>
        <w:t>supra</w:t>
      </w:r>
      <w:r>
        <w:rPr>
          <w:rFonts w:ascii="Times New Roman" w:eastAsia="Times New Roman" w:hAnsi="Times New Roman" w:cs="Times New Roman"/>
          <w:color w:val="000000"/>
          <w:lang w:eastAsia="en-CA"/>
        </w:rPr>
        <w:t xml:space="preserve"> note 7</w:t>
      </w:r>
      <w:r w:rsidRPr="009B4557">
        <w:rPr>
          <w:rFonts w:ascii="Times New Roman" w:eastAsia="Times New Roman" w:hAnsi="Times New Roman" w:cs="Times New Roman"/>
          <w:color w:val="000000"/>
          <w:lang w:eastAsia="en-CA"/>
        </w:rPr>
        <w:t xml:space="preserve"> at 25; see also </w:t>
      </w:r>
      <w:r w:rsidRPr="009B4557">
        <w:rPr>
          <w:rFonts w:ascii="Times New Roman" w:hAnsi="Times New Roman" w:cs="Times New Roman"/>
        </w:rPr>
        <w:t>Kerry Wilkins, “</w:t>
      </w:r>
      <w:r w:rsidRPr="009B4557">
        <w:rPr>
          <w:rFonts w:ascii="Times New Roman" w:eastAsia="Times New Roman" w:hAnsi="Times New Roman" w:cs="Times New Roman"/>
          <w:color w:val="000000"/>
          <w:lang w:eastAsia="en-CA"/>
        </w:rPr>
        <w:t xml:space="preserve">Still Crazy After All These Years: Section 88 of the </w:t>
      </w:r>
      <w:r w:rsidRPr="009B4557">
        <w:rPr>
          <w:rFonts w:ascii="Times New Roman" w:eastAsia="Times New Roman" w:hAnsi="Times New Roman" w:cs="Times New Roman"/>
          <w:i/>
          <w:iCs/>
          <w:color w:val="000000"/>
          <w:lang w:eastAsia="en-CA"/>
        </w:rPr>
        <w:t>Indian Act</w:t>
      </w:r>
      <w:r w:rsidRPr="009B4557">
        <w:rPr>
          <w:rFonts w:ascii="Times New Roman" w:eastAsia="Times New Roman" w:hAnsi="Times New Roman" w:cs="Times New Roman"/>
          <w:color w:val="000000"/>
          <w:lang w:eastAsia="en-CA"/>
        </w:rPr>
        <w:t xml:space="preserve"> at Fifty” (2000) 38(2) Alta L</w:t>
      </w:r>
      <w:r>
        <w:rPr>
          <w:rFonts w:ascii="Times New Roman" w:eastAsia="Times New Roman" w:hAnsi="Times New Roman" w:cs="Times New Roman"/>
          <w:color w:val="000000"/>
          <w:lang w:eastAsia="en-CA"/>
        </w:rPr>
        <w:t xml:space="preserve"> </w:t>
      </w:r>
      <w:r w:rsidRPr="009B4557">
        <w:rPr>
          <w:rFonts w:ascii="Times New Roman" w:eastAsia="Times New Roman" w:hAnsi="Times New Roman" w:cs="Times New Roman"/>
          <w:color w:val="000000"/>
          <w:lang w:eastAsia="en-CA"/>
        </w:rPr>
        <w:t>R</w:t>
      </w:r>
      <w:r>
        <w:rPr>
          <w:rFonts w:ascii="Times New Roman" w:eastAsia="Times New Roman" w:hAnsi="Times New Roman" w:cs="Times New Roman"/>
          <w:color w:val="000000"/>
          <w:lang w:eastAsia="en-CA"/>
        </w:rPr>
        <w:t>ev</w:t>
      </w:r>
      <w:r w:rsidRPr="009B4557">
        <w:rPr>
          <w:rFonts w:ascii="Times New Roman" w:eastAsia="Times New Roman" w:hAnsi="Times New Roman" w:cs="Times New Roman"/>
          <w:color w:val="000000"/>
          <w:lang w:eastAsia="en-CA"/>
        </w:rPr>
        <w:t xml:space="preserve"> 458.</w:t>
      </w:r>
    </w:p>
  </w:footnote>
  <w:footnote w:id="23">
    <w:p w14:paraId="5341BC2E" w14:textId="0B74BB78"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A161BC">
        <w:rPr>
          <w:rFonts w:ascii="Times New Roman" w:hAnsi="Times New Roman" w:cs="Times New Roman"/>
          <w:i/>
        </w:rPr>
        <w:t>Dick v R</w:t>
      </w:r>
      <w:r w:rsidRPr="00684B3E">
        <w:rPr>
          <w:rFonts w:ascii="Times New Roman" w:hAnsi="Times New Roman" w:cs="Times New Roman"/>
          <w:iCs/>
        </w:rPr>
        <w:t>,</w:t>
      </w:r>
      <w:r w:rsidRPr="00A161BC">
        <w:rPr>
          <w:rFonts w:ascii="Times New Roman" w:hAnsi="Times New Roman" w:cs="Times New Roman"/>
          <w:iCs/>
        </w:rPr>
        <w:t xml:space="preserve"> </w:t>
      </w:r>
      <w:r w:rsidRPr="009B4557">
        <w:rPr>
          <w:rFonts w:ascii="Times New Roman" w:hAnsi="Times New Roman" w:cs="Times New Roman"/>
        </w:rPr>
        <w:t>[1985] 2 SCR 309.</w:t>
      </w:r>
      <w:r>
        <w:rPr>
          <w:rFonts w:ascii="Times New Roman" w:hAnsi="Times New Roman" w:cs="Times New Roman"/>
        </w:rPr>
        <w:t xml:space="preserve"> </w:t>
      </w:r>
    </w:p>
  </w:footnote>
  <w:footnote w:id="24">
    <w:p w14:paraId="5B8DCC92" w14:textId="236186AD"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Indian status in </w:t>
      </w:r>
      <w:r w:rsidRPr="009B4557">
        <w:rPr>
          <w:rFonts w:ascii="Times New Roman" w:hAnsi="Times New Roman" w:cs="Times New Roman"/>
          <w:i/>
        </w:rPr>
        <w:t>Natural Parents v Superintendent of Child Welfare et al</w:t>
      </w:r>
      <w:r>
        <w:rPr>
          <w:rFonts w:ascii="Times New Roman" w:hAnsi="Times New Roman" w:cs="Times New Roman"/>
          <w:i/>
        </w:rPr>
        <w:t>.</w:t>
      </w:r>
      <w:r w:rsidRPr="009B4557">
        <w:rPr>
          <w:rFonts w:ascii="Times New Roman" w:hAnsi="Times New Roman" w:cs="Times New Roman"/>
        </w:rPr>
        <w:t>, [1976] 2 SCR 751</w:t>
      </w:r>
      <w:r>
        <w:rPr>
          <w:rFonts w:ascii="Times New Roman" w:hAnsi="Times New Roman" w:cs="Times New Roman"/>
        </w:rPr>
        <w:t>;</w:t>
      </w:r>
      <w:r w:rsidRPr="009B4557">
        <w:rPr>
          <w:rFonts w:ascii="Times New Roman" w:hAnsi="Times New Roman" w:cs="Times New Roman"/>
        </w:rPr>
        <w:t xml:space="preserve"> reserve lands in </w:t>
      </w:r>
      <w:proofErr w:type="spellStart"/>
      <w:r w:rsidRPr="009B4557">
        <w:rPr>
          <w:rFonts w:ascii="Times New Roman" w:hAnsi="Times New Roman" w:cs="Times New Roman"/>
          <w:i/>
        </w:rPr>
        <w:t>Derrickson</w:t>
      </w:r>
      <w:proofErr w:type="spellEnd"/>
      <w:r w:rsidRPr="009B4557">
        <w:rPr>
          <w:rFonts w:ascii="Times New Roman" w:hAnsi="Times New Roman" w:cs="Times New Roman"/>
          <w:i/>
        </w:rPr>
        <w:t xml:space="preserve"> v </w:t>
      </w:r>
      <w:proofErr w:type="spellStart"/>
      <w:r w:rsidRPr="009B4557">
        <w:rPr>
          <w:rFonts w:ascii="Times New Roman" w:hAnsi="Times New Roman" w:cs="Times New Roman"/>
          <w:i/>
        </w:rPr>
        <w:t>Derrickson</w:t>
      </w:r>
      <w:proofErr w:type="spellEnd"/>
      <w:r w:rsidRPr="009B4557">
        <w:rPr>
          <w:rFonts w:ascii="Times New Roman" w:hAnsi="Times New Roman" w:cs="Times New Roman"/>
        </w:rPr>
        <w:t xml:space="preserve">, [1986] 1 SCR 285; and Aboriginal and treaty rights in </w:t>
      </w:r>
      <w:r w:rsidRPr="009B4557">
        <w:rPr>
          <w:rFonts w:ascii="Times New Roman" w:hAnsi="Times New Roman" w:cs="Times New Roman"/>
          <w:i/>
        </w:rPr>
        <w:t>Delgamuukw v British Columbia</w:t>
      </w:r>
      <w:r w:rsidRPr="009B4557">
        <w:rPr>
          <w:rFonts w:ascii="Times New Roman" w:hAnsi="Times New Roman" w:cs="Times New Roman"/>
        </w:rPr>
        <w:t xml:space="preserve">, [1997] 3 SCR 1010 </w:t>
      </w:r>
      <w:r>
        <w:rPr>
          <w:rFonts w:ascii="Times New Roman" w:hAnsi="Times New Roman" w:cs="Times New Roman"/>
        </w:rPr>
        <w:t>[</w:t>
      </w:r>
      <w:r w:rsidRPr="009B4557">
        <w:rPr>
          <w:rFonts w:ascii="Times New Roman" w:hAnsi="Times New Roman" w:cs="Times New Roman"/>
          <w:i/>
        </w:rPr>
        <w:t>Delgamuukw</w:t>
      </w:r>
      <w:r>
        <w:rPr>
          <w:rFonts w:ascii="Times New Roman" w:hAnsi="Times New Roman" w:cs="Times New Roman"/>
        </w:rPr>
        <w:t>]</w:t>
      </w:r>
      <w:r w:rsidRPr="009B4557">
        <w:rPr>
          <w:rFonts w:ascii="Times New Roman" w:hAnsi="Times New Roman" w:cs="Times New Roman"/>
        </w:rPr>
        <w:t xml:space="preserve"> and </w:t>
      </w:r>
      <w:r w:rsidRPr="006E6AED">
        <w:rPr>
          <w:rFonts w:ascii="Times New Roman" w:hAnsi="Times New Roman" w:cs="Times New Roman"/>
          <w:i/>
        </w:rPr>
        <w:t>R</w:t>
      </w:r>
      <w:r w:rsidRPr="009B4557">
        <w:rPr>
          <w:rFonts w:ascii="Times New Roman" w:hAnsi="Times New Roman" w:cs="Times New Roman"/>
          <w:i/>
        </w:rPr>
        <w:t xml:space="preserve"> v Morris,</w:t>
      </w:r>
      <w:r w:rsidRPr="009B4557">
        <w:rPr>
          <w:rFonts w:ascii="Times New Roman" w:hAnsi="Times New Roman" w:cs="Times New Roman"/>
        </w:rPr>
        <w:t xml:space="preserve"> 2006 SCC 59 </w:t>
      </w:r>
      <w:r w:rsidRPr="00684B3E">
        <w:rPr>
          <w:rFonts w:ascii="Times New Roman" w:hAnsi="Times New Roman" w:cs="Times New Roman"/>
          <w:iCs/>
        </w:rPr>
        <w:t>[</w:t>
      </w:r>
      <w:r w:rsidRPr="009B4557">
        <w:rPr>
          <w:rFonts w:ascii="Times New Roman" w:hAnsi="Times New Roman" w:cs="Times New Roman"/>
          <w:i/>
        </w:rPr>
        <w:t>Morris</w:t>
      </w:r>
      <w:r>
        <w:rPr>
          <w:rFonts w:ascii="Times New Roman" w:hAnsi="Times New Roman" w:cs="Times New Roman"/>
        </w:rPr>
        <w:t>]</w:t>
      </w:r>
      <w:r w:rsidRPr="009B4557">
        <w:rPr>
          <w:rFonts w:ascii="Times New Roman" w:hAnsi="Times New Roman" w:cs="Times New Roman"/>
        </w:rPr>
        <w:t>.</w:t>
      </w:r>
    </w:p>
  </w:footnote>
  <w:footnote w:id="25">
    <w:p w14:paraId="59B41216" w14:textId="164F88B3"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[2002] </w:t>
      </w:r>
      <w:r>
        <w:rPr>
          <w:rFonts w:ascii="Times New Roman" w:hAnsi="Times New Roman" w:cs="Times New Roman"/>
        </w:rPr>
        <w:t>2 SCR 146</w:t>
      </w:r>
      <w:r w:rsidRPr="009B4557">
        <w:rPr>
          <w:rFonts w:ascii="Times New Roman" w:hAnsi="Times New Roman" w:cs="Times New Roman"/>
        </w:rPr>
        <w:t>.</w:t>
      </w:r>
    </w:p>
  </w:footnote>
  <w:footnote w:id="26">
    <w:p w14:paraId="241B0204" w14:textId="2AE4E299"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8A17FC">
        <w:rPr>
          <w:rFonts w:ascii="Times New Roman" w:hAnsi="Times New Roman" w:cs="Times New Roman"/>
          <w:i/>
        </w:rPr>
        <w:t>R</w:t>
      </w:r>
      <w:r w:rsidRPr="009B4557">
        <w:rPr>
          <w:rFonts w:ascii="Times New Roman" w:hAnsi="Times New Roman" w:cs="Times New Roman"/>
          <w:i/>
        </w:rPr>
        <w:t xml:space="preserve"> v Sutherland, </w:t>
      </w:r>
      <w:r w:rsidRPr="009B4557">
        <w:rPr>
          <w:rFonts w:ascii="Times New Roman" w:hAnsi="Times New Roman" w:cs="Times New Roman"/>
        </w:rPr>
        <w:t xml:space="preserve">[1980] 2 </w:t>
      </w:r>
      <w:r w:rsidRPr="008A17FC">
        <w:rPr>
          <w:rFonts w:ascii="Times New Roman" w:hAnsi="Times New Roman" w:cs="Times New Roman"/>
        </w:rPr>
        <w:t>SCR</w:t>
      </w:r>
      <w:r w:rsidRPr="009B4557">
        <w:rPr>
          <w:rFonts w:ascii="Times New Roman" w:hAnsi="Times New Roman" w:cs="Times New Roman"/>
        </w:rPr>
        <w:t xml:space="preserve"> 451.</w:t>
      </w:r>
      <w:r>
        <w:rPr>
          <w:rFonts w:ascii="Times New Roman" w:hAnsi="Times New Roman" w:cs="Times New Roman"/>
        </w:rPr>
        <w:t xml:space="preserve"> </w:t>
      </w:r>
    </w:p>
  </w:footnote>
  <w:footnote w:id="27">
    <w:p w14:paraId="11C098E8" w14:textId="3C41DA59"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B64A67">
        <w:rPr>
          <w:rFonts w:ascii="Times New Roman" w:hAnsi="Times New Roman" w:cs="Times New Roman"/>
        </w:rPr>
        <w:t xml:space="preserve">Jean </w:t>
      </w:r>
      <w:proofErr w:type="spellStart"/>
      <w:r w:rsidRPr="00B64A67">
        <w:rPr>
          <w:rFonts w:ascii="Times New Roman" w:hAnsi="Times New Roman" w:cs="Times New Roman"/>
        </w:rPr>
        <w:t>Leclair</w:t>
      </w:r>
      <w:proofErr w:type="spellEnd"/>
      <w:r>
        <w:rPr>
          <w:rFonts w:ascii="Times New Roman" w:hAnsi="Times New Roman" w:cs="Times New Roman"/>
        </w:rPr>
        <w:t>,</w:t>
      </w:r>
      <w:r w:rsidRPr="00B64A67">
        <w:rPr>
          <w:rFonts w:ascii="Times New Roman" w:hAnsi="Times New Roman" w:cs="Times New Roman"/>
        </w:rPr>
        <w:t xml:space="preserve"> </w:t>
      </w:r>
      <w:r w:rsidRPr="009B4557">
        <w:rPr>
          <w:rFonts w:ascii="Times New Roman" w:hAnsi="Times New Roman" w:cs="Times New Roman"/>
        </w:rPr>
        <w:t xml:space="preserve">“The </w:t>
      </w:r>
      <w:proofErr w:type="spellStart"/>
      <w:r w:rsidRPr="009B4557">
        <w:rPr>
          <w:rFonts w:ascii="Times New Roman" w:hAnsi="Times New Roman" w:cs="Times New Roman"/>
          <w:i/>
        </w:rPr>
        <w:t>Kitkatla</w:t>
      </w:r>
      <w:proofErr w:type="spellEnd"/>
      <w:r w:rsidRPr="009B4557">
        <w:rPr>
          <w:rFonts w:ascii="Times New Roman" w:hAnsi="Times New Roman" w:cs="Times New Roman"/>
        </w:rPr>
        <w:t xml:space="preserve"> Decision: Finding Jurisdictional Room to Justify Provincial Regulation of Aboriginal Matters” (2003) 20 SCLR (2d) 1 at </w:t>
      </w:r>
      <w:r>
        <w:rPr>
          <w:rFonts w:ascii="Times New Roman" w:hAnsi="Times New Roman" w:cs="Times New Roman"/>
        </w:rPr>
        <w:t>31–32</w:t>
      </w:r>
      <w:r w:rsidRPr="009B4557">
        <w:rPr>
          <w:rFonts w:ascii="Times New Roman" w:hAnsi="Times New Roman" w:cs="Times New Roman"/>
        </w:rPr>
        <w:t>.</w:t>
      </w:r>
    </w:p>
  </w:footnote>
  <w:footnote w:id="28">
    <w:p w14:paraId="15718990" w14:textId="38042ACF"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proofErr w:type="spellStart"/>
      <w:r w:rsidRPr="00B64A67">
        <w:rPr>
          <w:rFonts w:ascii="Times New Roman" w:hAnsi="Times New Roman" w:cs="Times New Roman"/>
          <w:i/>
        </w:rPr>
        <w:t>Tsilhqot’in</w:t>
      </w:r>
      <w:proofErr w:type="spellEnd"/>
      <w:r w:rsidRPr="00B64A67">
        <w:rPr>
          <w:rFonts w:ascii="Times New Roman" w:hAnsi="Times New Roman" w:cs="Times New Roman"/>
          <w:i/>
        </w:rPr>
        <w:t xml:space="preserve"> Nation v British Columbia</w:t>
      </w:r>
      <w:r>
        <w:rPr>
          <w:rFonts w:ascii="Times New Roman" w:hAnsi="Times New Roman" w:cs="Times New Roman"/>
          <w:iCs/>
        </w:rPr>
        <w:t>,</w:t>
      </w:r>
      <w:r w:rsidRPr="00B64A67">
        <w:rPr>
          <w:rFonts w:ascii="Times New Roman" w:hAnsi="Times New Roman" w:cs="Times New Roman"/>
        </w:rPr>
        <w:t xml:space="preserve"> </w:t>
      </w:r>
      <w:r w:rsidRPr="009B4557">
        <w:rPr>
          <w:rFonts w:ascii="Times New Roman" w:hAnsi="Times New Roman" w:cs="Times New Roman"/>
        </w:rPr>
        <w:t>2014 SCC 44</w:t>
      </w:r>
      <w:r>
        <w:rPr>
          <w:rFonts w:ascii="Times New Roman" w:hAnsi="Times New Roman" w:cs="Times New Roman"/>
        </w:rPr>
        <w:t xml:space="preserve"> [</w:t>
      </w:r>
      <w:proofErr w:type="spellStart"/>
      <w:r>
        <w:rPr>
          <w:rFonts w:ascii="Times New Roman" w:hAnsi="Times New Roman" w:cs="Times New Roman"/>
          <w:i/>
          <w:iCs/>
        </w:rPr>
        <w:t>Tsilhqot’in</w:t>
      </w:r>
      <w:proofErr w:type="spellEnd"/>
      <w:r>
        <w:rPr>
          <w:rFonts w:ascii="Times New Roman" w:hAnsi="Times New Roman" w:cs="Times New Roman"/>
        </w:rPr>
        <w:t>];</w:t>
      </w:r>
      <w:r w:rsidRPr="009B4557">
        <w:rPr>
          <w:rFonts w:ascii="Times New Roman" w:hAnsi="Times New Roman" w:cs="Times New Roman"/>
        </w:rPr>
        <w:t xml:space="preserve"> </w:t>
      </w:r>
      <w:bookmarkStart w:id="11" w:name="_Hlk39327837"/>
      <w:r w:rsidRPr="00B64A67">
        <w:rPr>
          <w:rFonts w:ascii="Times New Roman" w:hAnsi="Times New Roman" w:cs="Times New Roman"/>
          <w:i/>
        </w:rPr>
        <w:t xml:space="preserve">Grassy Narrows First Nation v Ontario </w:t>
      </w:r>
      <w:bookmarkEnd w:id="11"/>
      <w:r w:rsidRPr="00B64A67">
        <w:rPr>
          <w:rFonts w:ascii="Times New Roman" w:hAnsi="Times New Roman" w:cs="Times New Roman"/>
          <w:i/>
        </w:rPr>
        <w:t>(Natural Resources)</w:t>
      </w:r>
      <w:r>
        <w:rPr>
          <w:rFonts w:ascii="Times New Roman" w:hAnsi="Times New Roman" w:cs="Times New Roman"/>
          <w:iCs/>
        </w:rPr>
        <w:t xml:space="preserve">, </w:t>
      </w:r>
      <w:r w:rsidRPr="009B4557">
        <w:rPr>
          <w:rFonts w:ascii="Times New Roman" w:hAnsi="Times New Roman" w:cs="Times New Roman"/>
        </w:rPr>
        <w:t>2014 SCC 48.</w:t>
      </w:r>
      <w:r>
        <w:rPr>
          <w:rFonts w:ascii="Times New Roman" w:hAnsi="Times New Roman" w:cs="Times New Roman"/>
        </w:rPr>
        <w:t xml:space="preserve"> </w:t>
      </w:r>
    </w:p>
  </w:footnote>
  <w:footnote w:id="29">
    <w:p w14:paraId="42D233F7" w14:textId="48DA5A1B"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proofErr w:type="spellStart"/>
      <w:r w:rsidRPr="009B4557">
        <w:rPr>
          <w:rFonts w:ascii="Times New Roman" w:hAnsi="Times New Roman" w:cs="Times New Roman"/>
          <w:i/>
          <w:iCs/>
        </w:rPr>
        <w:t>Tsilhqot’in</w:t>
      </w:r>
      <w:proofErr w:type="spellEnd"/>
      <w:r w:rsidRPr="009B4557">
        <w:rPr>
          <w:rFonts w:ascii="Times New Roman" w:hAnsi="Times New Roman" w:cs="Times New Roman"/>
        </w:rPr>
        <w:t>,</w:t>
      </w:r>
      <w:r w:rsidRPr="009B4557">
        <w:rPr>
          <w:rFonts w:ascii="Times New Roman" w:hAnsi="Times New Roman" w:cs="Times New Roman"/>
          <w:i/>
          <w:iCs/>
        </w:rPr>
        <w:t xml:space="preserve"> ibid</w:t>
      </w:r>
      <w:r w:rsidRPr="009B4557">
        <w:rPr>
          <w:rFonts w:ascii="Times New Roman" w:hAnsi="Times New Roman" w:cs="Times New Roman"/>
        </w:rPr>
        <w:t xml:space="preserve"> at para 116.  One is hard-pressed to identify an area that is not overlapping these days.  Even the most stalwart area—jurisdiction over reserve land—now appears up for question.  See </w:t>
      </w:r>
      <w:bookmarkStart w:id="12" w:name="_Hlk39327870"/>
      <w:r w:rsidRPr="009B4557">
        <w:rPr>
          <w:rFonts w:ascii="Times New Roman" w:hAnsi="Times New Roman" w:cs="Times New Roman"/>
        </w:rPr>
        <w:t xml:space="preserve">Nigel </w:t>
      </w:r>
      <w:proofErr w:type="spellStart"/>
      <w:r w:rsidRPr="009B4557">
        <w:rPr>
          <w:rFonts w:ascii="Times New Roman" w:hAnsi="Times New Roman" w:cs="Times New Roman"/>
        </w:rPr>
        <w:t>Bankes</w:t>
      </w:r>
      <w:proofErr w:type="spellEnd"/>
      <w:r w:rsidRPr="009B4557">
        <w:rPr>
          <w:rFonts w:ascii="Times New Roman" w:hAnsi="Times New Roman" w:cs="Times New Roman"/>
        </w:rPr>
        <w:t xml:space="preserve"> and Jennifer </w:t>
      </w:r>
      <w:proofErr w:type="spellStart"/>
      <w:r w:rsidRPr="009B4557">
        <w:rPr>
          <w:rFonts w:ascii="Times New Roman" w:hAnsi="Times New Roman" w:cs="Times New Roman"/>
        </w:rPr>
        <w:t>Koshan</w:t>
      </w:r>
      <w:proofErr w:type="spellEnd"/>
      <w:r w:rsidRPr="009B4557">
        <w:rPr>
          <w:rFonts w:ascii="Times New Roman" w:hAnsi="Times New Roman" w:cs="Times New Roman"/>
        </w:rPr>
        <w:t xml:space="preserve">, “The Uncertain Status of the Doctrine of Interjurisdictional Immunity on Reserve Lands,” </w:t>
      </w:r>
      <w:r>
        <w:rPr>
          <w:rFonts w:ascii="Times New Roman" w:hAnsi="Times New Roman" w:cs="Times New Roman"/>
        </w:rPr>
        <w:t xml:space="preserve">(28 October 2014), </w:t>
      </w:r>
      <w:proofErr w:type="spellStart"/>
      <w:r w:rsidRPr="00684B3E">
        <w:rPr>
          <w:rFonts w:ascii="Times New Roman" w:hAnsi="Times New Roman" w:cs="Times New Roman"/>
          <w:i/>
        </w:rPr>
        <w:t>Ablawg</w:t>
      </w:r>
      <w:proofErr w:type="spellEnd"/>
      <w:r>
        <w:rPr>
          <w:rFonts w:ascii="Times New Roman" w:hAnsi="Times New Roman" w:cs="Times New Roman"/>
        </w:rPr>
        <w:t xml:space="preserve"> (blog)</w:t>
      </w:r>
      <w:bookmarkEnd w:id="12"/>
      <w:r w:rsidRPr="009B4557">
        <w:rPr>
          <w:rFonts w:ascii="Times New Roman" w:hAnsi="Times New Roman" w:cs="Times New Roman"/>
        </w:rPr>
        <w:t xml:space="preserve">.  </w:t>
      </w:r>
    </w:p>
  </w:footnote>
  <w:footnote w:id="30">
    <w:p w14:paraId="20CA37DD" w14:textId="052F0C2B"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Borrows</w:t>
      </w:r>
      <w:r>
        <w:rPr>
          <w:rFonts w:ascii="Times New Roman" w:hAnsi="Times New Roman" w:cs="Times New Roman"/>
        </w:rPr>
        <w:t>,</w:t>
      </w:r>
      <w:r w:rsidRPr="009B4557">
        <w:rPr>
          <w:rFonts w:ascii="Times New Roman" w:hAnsi="Times New Roman" w:cs="Times New Roman"/>
        </w:rPr>
        <w:t xml:space="preserve"> </w:t>
      </w:r>
      <w:r w:rsidRPr="0027472F">
        <w:rPr>
          <w:rFonts w:ascii="Times New Roman" w:hAnsi="Times New Roman" w:cs="Times New Roman"/>
        </w:rPr>
        <w:t>“Canada’s Colonial Constitution,”</w:t>
      </w:r>
      <w:r w:rsidRPr="009B4557">
        <w:rPr>
          <w:rFonts w:ascii="Times New Roman" w:hAnsi="Times New Roman" w:cs="Times New Roman"/>
        </w:rPr>
        <w:t xml:space="preserve"> </w:t>
      </w:r>
      <w:r w:rsidRPr="009B4557">
        <w:rPr>
          <w:rFonts w:ascii="Times New Roman" w:eastAsia="Times New Roman" w:hAnsi="Times New Roman" w:cs="Times New Roman"/>
          <w:i/>
          <w:color w:val="000000"/>
          <w:lang w:eastAsia="en-CA"/>
        </w:rPr>
        <w:t>supra</w:t>
      </w:r>
      <w:r>
        <w:rPr>
          <w:rFonts w:ascii="Times New Roman" w:eastAsia="Times New Roman" w:hAnsi="Times New Roman" w:cs="Times New Roman"/>
          <w:i/>
          <w:color w:val="000000"/>
          <w:lang w:eastAsia="en-CA"/>
        </w:rPr>
        <w:t xml:space="preserve"> </w:t>
      </w:r>
      <w:r>
        <w:rPr>
          <w:rFonts w:ascii="Times New Roman" w:eastAsia="Times New Roman" w:hAnsi="Times New Roman" w:cs="Times New Roman"/>
          <w:iCs/>
          <w:color w:val="000000"/>
          <w:lang w:eastAsia="en-CA"/>
        </w:rPr>
        <w:t>note 7</w:t>
      </w:r>
      <w:r w:rsidRPr="009B4557">
        <w:rPr>
          <w:rFonts w:ascii="Times New Roman" w:eastAsia="Times New Roman" w:hAnsi="Times New Roman" w:cs="Times New Roman"/>
          <w:color w:val="000000"/>
          <w:lang w:eastAsia="en-CA"/>
        </w:rPr>
        <w:t xml:space="preserve"> at </w:t>
      </w:r>
      <w:r>
        <w:rPr>
          <w:rFonts w:ascii="Times New Roman" w:eastAsia="Times New Roman" w:hAnsi="Times New Roman" w:cs="Times New Roman"/>
          <w:color w:val="000000"/>
          <w:lang w:eastAsia="en-CA"/>
        </w:rPr>
        <w:t>31–32</w:t>
      </w:r>
      <w:r w:rsidRPr="009B4557">
        <w:rPr>
          <w:rFonts w:ascii="Times New Roman" w:eastAsia="Times New Roman" w:hAnsi="Times New Roman" w:cs="Times New Roman"/>
          <w:color w:val="000000"/>
          <w:lang w:eastAsia="en-CA"/>
        </w:rPr>
        <w:t>.  See also Bruce McIvor &amp; Kate Gunn, “Stepping into Canada</w:t>
      </w:r>
      <w:r>
        <w:rPr>
          <w:rFonts w:ascii="Times New Roman" w:eastAsia="Times New Roman" w:hAnsi="Times New Roman" w:cs="Times New Roman"/>
          <w:color w:val="000000"/>
          <w:lang w:eastAsia="en-CA"/>
        </w:rPr>
        <w:t>’</w:t>
      </w:r>
      <w:r w:rsidRPr="009B4557">
        <w:rPr>
          <w:rFonts w:ascii="Times New Roman" w:eastAsia="Times New Roman" w:hAnsi="Times New Roman" w:cs="Times New Roman"/>
          <w:color w:val="000000"/>
          <w:lang w:eastAsia="en-CA"/>
        </w:rPr>
        <w:t xml:space="preserve">s Shoes: </w:t>
      </w:r>
      <w:proofErr w:type="spellStart"/>
      <w:r w:rsidRPr="009B4557">
        <w:rPr>
          <w:rFonts w:ascii="Times New Roman" w:eastAsia="Times New Roman" w:hAnsi="Times New Roman" w:cs="Times New Roman"/>
          <w:color w:val="000000"/>
          <w:lang w:eastAsia="en-CA"/>
        </w:rPr>
        <w:t>Tsilhqot</w:t>
      </w:r>
      <w:r>
        <w:rPr>
          <w:rFonts w:ascii="Times New Roman" w:eastAsia="Times New Roman" w:hAnsi="Times New Roman" w:cs="Times New Roman"/>
          <w:color w:val="000000"/>
          <w:lang w:eastAsia="en-CA"/>
        </w:rPr>
        <w:t>’</w:t>
      </w:r>
      <w:r w:rsidRPr="009B4557">
        <w:rPr>
          <w:rFonts w:ascii="Times New Roman" w:eastAsia="Times New Roman" w:hAnsi="Times New Roman" w:cs="Times New Roman"/>
          <w:color w:val="000000"/>
          <w:lang w:eastAsia="en-CA"/>
        </w:rPr>
        <w:t>in</w:t>
      </w:r>
      <w:proofErr w:type="spellEnd"/>
      <w:r w:rsidRPr="009B4557">
        <w:rPr>
          <w:rFonts w:ascii="Times New Roman" w:eastAsia="Times New Roman" w:hAnsi="Times New Roman" w:cs="Times New Roman"/>
          <w:color w:val="000000"/>
          <w:lang w:eastAsia="en-CA"/>
        </w:rPr>
        <w:t>, Grassy Narrows and the Division of Powers” (2016) 67 UNBLJ 146</w:t>
      </w:r>
      <w:r>
        <w:rPr>
          <w:rFonts w:ascii="Times New Roman" w:eastAsia="Times New Roman" w:hAnsi="Times New Roman" w:cs="Times New Roman"/>
          <w:color w:val="000000"/>
          <w:lang w:eastAsia="en-CA"/>
        </w:rPr>
        <w:t xml:space="preserve">; </w:t>
      </w:r>
      <w:r w:rsidRPr="00BD4208">
        <w:rPr>
          <w:rFonts w:ascii="Times New Roman" w:eastAsia="Times New Roman" w:hAnsi="Times New Roman" w:cs="Times New Roman"/>
          <w:color w:val="000000"/>
          <w:lang w:eastAsia="en-CA"/>
        </w:rPr>
        <w:t xml:space="preserve">Kerry Wilkins, “Life Among the Ruins: Section 91(24) After </w:t>
      </w:r>
      <w:proofErr w:type="spellStart"/>
      <w:r w:rsidRPr="002D5719">
        <w:rPr>
          <w:rFonts w:ascii="Times New Roman" w:eastAsia="Times New Roman" w:hAnsi="Times New Roman" w:cs="Times New Roman"/>
          <w:i/>
          <w:color w:val="000000"/>
          <w:lang w:eastAsia="en-CA"/>
        </w:rPr>
        <w:t>Tsilhqot’in</w:t>
      </w:r>
      <w:proofErr w:type="spellEnd"/>
      <w:r w:rsidRPr="00BD4208">
        <w:rPr>
          <w:rFonts w:ascii="Times New Roman" w:eastAsia="Times New Roman" w:hAnsi="Times New Roman" w:cs="Times New Roman"/>
          <w:color w:val="000000"/>
          <w:lang w:eastAsia="en-CA"/>
        </w:rPr>
        <w:t xml:space="preserve"> and </w:t>
      </w:r>
      <w:r w:rsidRPr="002D5719">
        <w:rPr>
          <w:rFonts w:ascii="Times New Roman" w:eastAsia="Times New Roman" w:hAnsi="Times New Roman" w:cs="Times New Roman"/>
          <w:i/>
          <w:color w:val="000000"/>
          <w:lang w:eastAsia="en-CA"/>
        </w:rPr>
        <w:t>Grassy Narrows</w:t>
      </w:r>
      <w:r w:rsidRPr="00BD4208">
        <w:rPr>
          <w:rFonts w:ascii="Times New Roman" w:eastAsia="Times New Roman" w:hAnsi="Times New Roman" w:cs="Times New Roman"/>
          <w:color w:val="000000"/>
          <w:lang w:eastAsia="en-CA"/>
        </w:rPr>
        <w:t>” (2017) 55 Alta L Rev 91.</w:t>
      </w:r>
    </w:p>
  </w:footnote>
  <w:footnote w:id="31">
    <w:p w14:paraId="4015ADED" w14:textId="03360153" w:rsidR="005A6E18" w:rsidRPr="005A6E18" w:rsidRDefault="005A6E18">
      <w:pPr>
        <w:pStyle w:val="FootnoteText"/>
        <w:rPr>
          <w:rFonts w:ascii="Times New Roman" w:hAnsi="Times New Roman" w:cs="Times New Roman"/>
        </w:rPr>
      </w:pPr>
      <w:r w:rsidRPr="005A6E18">
        <w:rPr>
          <w:rStyle w:val="FootnoteReference"/>
          <w:rFonts w:ascii="Times New Roman" w:hAnsi="Times New Roman" w:cs="Times New Roman"/>
        </w:rPr>
        <w:footnoteRef/>
      </w:r>
      <w:r w:rsidRPr="005A6E18">
        <w:rPr>
          <w:rFonts w:ascii="Times New Roman" w:hAnsi="Times New Roman" w:cs="Times New Roman"/>
        </w:rPr>
        <w:t xml:space="preserve"> </w:t>
      </w:r>
      <w:r w:rsidRPr="005A6E18">
        <w:rPr>
          <w:rFonts w:ascii="Times New Roman" w:hAnsi="Times New Roman" w:cs="Times New Roman"/>
          <w:i/>
        </w:rPr>
        <w:t>Racine v Woods</w:t>
      </w:r>
      <w:r w:rsidRPr="005A6E18">
        <w:rPr>
          <w:rFonts w:ascii="Times New Roman" w:hAnsi="Times New Roman" w:cs="Times New Roman"/>
        </w:rPr>
        <w:t>, INC 2020 #.</w:t>
      </w:r>
    </w:p>
  </w:footnote>
  <w:footnote w:id="32">
    <w:p w14:paraId="5B9AA50C" w14:textId="6B55BF8D"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27472F">
        <w:rPr>
          <w:rFonts w:ascii="Times New Roman" w:hAnsi="Times New Roman" w:cs="Times New Roman"/>
          <w:i/>
          <w:iCs/>
        </w:rPr>
        <w:t>S</w:t>
      </w:r>
      <w:r w:rsidRPr="008A17FC">
        <w:rPr>
          <w:rFonts w:ascii="Times New Roman" w:hAnsi="Times New Roman" w:cs="Times New Roman"/>
          <w:i/>
        </w:rPr>
        <w:t>upra</w:t>
      </w:r>
      <w:r>
        <w:rPr>
          <w:rFonts w:ascii="Times New Roman" w:hAnsi="Times New Roman" w:cs="Times New Roman"/>
        </w:rPr>
        <w:t xml:space="preserve"> note 12</w:t>
      </w:r>
      <w:r w:rsidRPr="009B4557">
        <w:rPr>
          <w:rFonts w:ascii="Times New Roman" w:hAnsi="Times New Roman" w:cs="Times New Roman"/>
        </w:rPr>
        <w:t xml:space="preserve"> at 6.</w:t>
      </w:r>
    </w:p>
  </w:footnote>
  <w:footnote w:id="33">
    <w:p w14:paraId="4CDDE60F" w14:textId="66F07886"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Ibid</w:t>
      </w:r>
      <w:r w:rsidRPr="009B4557">
        <w:rPr>
          <w:rFonts w:ascii="Times New Roman" w:hAnsi="Times New Roman" w:cs="Times New Roman"/>
        </w:rPr>
        <w:t xml:space="preserve"> at 7.</w:t>
      </w:r>
    </w:p>
  </w:footnote>
  <w:footnote w:id="34">
    <w:p w14:paraId="5E295DFF" w14:textId="6C8E9E22"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proofErr w:type="spellStart"/>
      <w:r w:rsidRPr="009B4557">
        <w:rPr>
          <w:rFonts w:ascii="Times New Roman" w:hAnsi="Times New Roman" w:cs="Times New Roman"/>
          <w:i/>
        </w:rPr>
        <w:t>Mikisew</w:t>
      </w:r>
      <w:proofErr w:type="spellEnd"/>
      <w:r w:rsidRPr="009B4557">
        <w:rPr>
          <w:rFonts w:ascii="Times New Roman" w:hAnsi="Times New Roman" w:cs="Times New Roman"/>
          <w:i/>
        </w:rPr>
        <w:t xml:space="preserve"> Cree First Nation v Canada (Minister of Canadian Heritage)</w:t>
      </w:r>
      <w:r w:rsidRPr="009B4557">
        <w:rPr>
          <w:rFonts w:ascii="Times New Roman" w:hAnsi="Times New Roman" w:cs="Times New Roman"/>
        </w:rPr>
        <w:t xml:space="preserve">, 2005 SCC 69 at para 1: “The fundamental objective of the modern law of aboriginal and treaty rights is the reconciliation of aboriginal peoples and non-aboriginal peoples and their respective claims, interests and ambitions.” See also </w:t>
      </w:r>
      <w:r w:rsidRPr="009B4557">
        <w:rPr>
          <w:rFonts w:ascii="Times New Roman" w:hAnsi="Times New Roman" w:cs="Times New Roman"/>
          <w:i/>
        </w:rPr>
        <w:t>Beckman v Little Salmon/</w:t>
      </w:r>
      <w:proofErr w:type="spellStart"/>
      <w:r w:rsidRPr="009B4557">
        <w:rPr>
          <w:rFonts w:ascii="Times New Roman" w:hAnsi="Times New Roman" w:cs="Times New Roman"/>
          <w:i/>
        </w:rPr>
        <w:t>Carmacks</w:t>
      </w:r>
      <w:proofErr w:type="spellEnd"/>
      <w:r w:rsidRPr="009B4557">
        <w:rPr>
          <w:rFonts w:ascii="Times New Roman" w:hAnsi="Times New Roman" w:cs="Times New Roman"/>
          <w:i/>
        </w:rPr>
        <w:t xml:space="preserve"> First Nation</w:t>
      </w:r>
      <w:r w:rsidRPr="009B4557">
        <w:rPr>
          <w:rFonts w:ascii="Times New Roman" w:hAnsi="Times New Roman" w:cs="Times New Roman"/>
        </w:rPr>
        <w:t xml:space="preserve">, [2010] 3 SCR 103 at para 10.  </w:t>
      </w:r>
    </w:p>
  </w:footnote>
  <w:footnote w:id="35">
    <w:p w14:paraId="0BC139C2" w14:textId="2403D911"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Pr>
          <w:rFonts w:ascii="Times New Roman" w:hAnsi="Times New Roman" w:cs="Times New Roman"/>
          <w:i/>
          <w:iCs/>
        </w:rPr>
        <w:t>RCAP</w:t>
      </w:r>
      <w:r w:rsidRPr="009B4557">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supra </w:t>
      </w:r>
      <w:r>
        <w:rPr>
          <w:rFonts w:ascii="Times New Roman" w:hAnsi="Times New Roman" w:cs="Times New Roman"/>
        </w:rPr>
        <w:t>note 3,</w:t>
      </w:r>
      <w:r w:rsidRPr="009B4557">
        <w:rPr>
          <w:rFonts w:ascii="Times New Roman" w:hAnsi="Times New Roman" w:cs="Times New Roman"/>
        </w:rPr>
        <w:t xml:space="preserve"> </w:t>
      </w:r>
      <w:r>
        <w:rPr>
          <w:rFonts w:ascii="Times New Roman" w:hAnsi="Times New Roman" w:cs="Times New Roman"/>
        </w:rPr>
        <w:t>v</w:t>
      </w:r>
      <w:r w:rsidRPr="009B4557">
        <w:rPr>
          <w:rFonts w:ascii="Times New Roman" w:hAnsi="Times New Roman" w:cs="Times New Roman"/>
        </w:rPr>
        <w:t>ol 1</w:t>
      </w:r>
      <w:r>
        <w:rPr>
          <w:rFonts w:ascii="Times New Roman" w:hAnsi="Times New Roman" w:cs="Times New Roman"/>
        </w:rPr>
        <w:t xml:space="preserve">, </w:t>
      </w:r>
      <w:r>
        <w:rPr>
          <w:rFonts w:ascii="Times New Roman" w:hAnsi="Times New Roman" w:cs="Times New Roman"/>
          <w:i/>
          <w:iCs/>
        </w:rPr>
        <w:t>Looking Forward, Looking Back</w:t>
      </w:r>
      <w:r w:rsidRPr="009B4557">
        <w:rPr>
          <w:rFonts w:ascii="Times New Roman" w:hAnsi="Times New Roman" w:cs="Times New Roman"/>
        </w:rPr>
        <w:t xml:space="preserve">, </w:t>
      </w:r>
      <w:proofErr w:type="spellStart"/>
      <w:r>
        <w:rPr>
          <w:rFonts w:ascii="Times New Roman" w:hAnsi="Times New Roman" w:cs="Times New Roman"/>
        </w:rPr>
        <w:t>c</w:t>
      </w:r>
      <w:r w:rsidRPr="009B4557">
        <w:rPr>
          <w:rFonts w:ascii="Times New Roman" w:hAnsi="Times New Roman" w:cs="Times New Roman"/>
        </w:rPr>
        <w:t>hs</w:t>
      </w:r>
      <w:proofErr w:type="spellEnd"/>
      <w:r w:rsidRPr="009B4557">
        <w:rPr>
          <w:rFonts w:ascii="Times New Roman" w:hAnsi="Times New Roman" w:cs="Times New Roman"/>
        </w:rPr>
        <w:t xml:space="preserve"> </w:t>
      </w:r>
      <w:r>
        <w:rPr>
          <w:rFonts w:ascii="Times New Roman" w:hAnsi="Times New Roman" w:cs="Times New Roman"/>
        </w:rPr>
        <w:t>9–12,</w:t>
      </w:r>
      <w:r w:rsidRPr="009B4557">
        <w:rPr>
          <w:rFonts w:ascii="Times New Roman" w:hAnsi="Times New Roman" w:cs="Times New Roman"/>
        </w:rPr>
        <w:t xml:space="preserve"> and TRC</w:t>
      </w:r>
      <w:r>
        <w:rPr>
          <w:rFonts w:ascii="Times New Roman" w:hAnsi="Times New Roman" w:cs="Times New Roman"/>
        </w:rPr>
        <w:t>,</w:t>
      </w:r>
      <w:r w:rsidRPr="009B4557">
        <w:rPr>
          <w:rFonts w:ascii="Times New Roman" w:hAnsi="Times New Roman" w:cs="Times New Roman"/>
        </w:rPr>
        <w:t xml:space="preserve"> </w:t>
      </w:r>
      <w:r w:rsidRPr="004B4FA6">
        <w:rPr>
          <w:rFonts w:ascii="Times New Roman" w:hAnsi="Times New Roman" w:cs="Times New Roman"/>
          <w:i/>
        </w:rPr>
        <w:t>supra</w:t>
      </w:r>
      <w:r>
        <w:rPr>
          <w:rFonts w:ascii="Times New Roman" w:hAnsi="Times New Roman" w:cs="Times New Roman"/>
        </w:rPr>
        <w:t xml:space="preserve"> note 12</w:t>
      </w:r>
      <w:r w:rsidRPr="009B4557">
        <w:rPr>
          <w:rFonts w:ascii="Times New Roman" w:hAnsi="Times New Roman" w:cs="Times New Roman"/>
        </w:rPr>
        <w:t>.</w:t>
      </w:r>
    </w:p>
  </w:footnote>
  <w:footnote w:id="36">
    <w:p w14:paraId="2DFB8EC9" w14:textId="55A0A225" w:rsidR="0083324D" w:rsidRPr="00CF6EFB" w:rsidRDefault="0083324D" w:rsidP="005021E9">
      <w:pPr>
        <w:pStyle w:val="FootnoteText"/>
        <w:jc w:val="both"/>
        <w:rPr>
          <w:rFonts w:ascii="Times New Roman" w:hAnsi="Times New Roman" w:cs="Times New Roman"/>
        </w:rPr>
      </w:pPr>
      <w:r w:rsidRPr="00CF6EFB">
        <w:rPr>
          <w:rStyle w:val="FootnoteReference"/>
          <w:rFonts w:ascii="Times New Roman" w:hAnsi="Times New Roman" w:cs="Times New Roman"/>
        </w:rPr>
        <w:footnoteRef/>
      </w:r>
      <w:r w:rsidRPr="00CF6EFB">
        <w:rPr>
          <w:rFonts w:ascii="Times New Roman" w:hAnsi="Times New Roman" w:cs="Times New Roman"/>
        </w:rPr>
        <w:t xml:space="preserve"> </w:t>
      </w:r>
      <w:r w:rsidRPr="00CF6EFB">
        <w:rPr>
          <w:rFonts w:ascii="Times New Roman" w:hAnsi="Times New Roman" w:cs="Times New Roman"/>
          <w:i/>
        </w:rPr>
        <w:t>Indian Act</w:t>
      </w:r>
      <w:r w:rsidRPr="00CF6EFB">
        <w:rPr>
          <w:rFonts w:ascii="Times New Roman" w:hAnsi="Times New Roman" w:cs="Times New Roman"/>
        </w:rPr>
        <w:t xml:space="preserve">, RSC 1985 c I-5, ss </w:t>
      </w:r>
      <w:r>
        <w:rPr>
          <w:rFonts w:ascii="Times New Roman" w:hAnsi="Times New Roman" w:cs="Times New Roman"/>
        </w:rPr>
        <w:t>114–121</w:t>
      </w:r>
      <w:r w:rsidRPr="00CF6EFB">
        <w:rPr>
          <w:rFonts w:ascii="Times New Roman" w:hAnsi="Times New Roman" w:cs="Times New Roman"/>
        </w:rPr>
        <w:t xml:space="preserve">.  Most of these were repealed </w:t>
      </w:r>
      <w:r>
        <w:rPr>
          <w:rFonts w:ascii="Times New Roman" w:hAnsi="Times New Roman" w:cs="Times New Roman"/>
        </w:rPr>
        <w:t xml:space="preserve">by the </w:t>
      </w:r>
      <w:r w:rsidRPr="00684B3E">
        <w:rPr>
          <w:rFonts w:ascii="Times New Roman" w:hAnsi="Times New Roman" w:cs="Times New Roman"/>
          <w:i/>
        </w:rPr>
        <w:t>Indian Act Amendment and Replacement Act</w:t>
      </w:r>
      <w:r w:rsidRPr="00DC5E8B">
        <w:rPr>
          <w:rFonts w:ascii="Times New Roman" w:hAnsi="Times New Roman" w:cs="Times New Roman"/>
        </w:rPr>
        <w:t>, SC 2014, c 38</w:t>
      </w:r>
      <w:r w:rsidRPr="00CF6EFB">
        <w:rPr>
          <w:rFonts w:ascii="Times New Roman" w:hAnsi="Times New Roman" w:cs="Times New Roman"/>
        </w:rPr>
        <w:t>.</w:t>
      </w:r>
    </w:p>
  </w:footnote>
  <w:footnote w:id="37">
    <w:p w14:paraId="30DD4A7D" w14:textId="6FCA111C" w:rsidR="0083324D" w:rsidRPr="00737ACC" w:rsidRDefault="0083324D" w:rsidP="005021E9">
      <w:pPr>
        <w:pStyle w:val="FootnoteText"/>
        <w:jc w:val="both"/>
        <w:rPr>
          <w:rFonts w:ascii="Times New Roman" w:hAnsi="Times New Roman" w:cs="Times New Roman"/>
        </w:rPr>
      </w:pPr>
      <w:r w:rsidRPr="00737ACC">
        <w:rPr>
          <w:rStyle w:val="FootnoteReference"/>
          <w:rFonts w:ascii="Times New Roman" w:hAnsi="Times New Roman" w:cs="Times New Roman"/>
        </w:rPr>
        <w:footnoteRef/>
      </w:r>
      <w:r w:rsidRPr="00737ACC">
        <w:rPr>
          <w:rFonts w:ascii="Times New Roman" w:hAnsi="Times New Roman" w:cs="Times New Roman"/>
        </w:rPr>
        <w:t xml:space="preserve"> </w:t>
      </w:r>
      <w:r>
        <w:rPr>
          <w:rFonts w:ascii="Times New Roman" w:hAnsi="Times New Roman" w:cs="Times New Roman"/>
        </w:rPr>
        <w:t>These various harms are</w:t>
      </w:r>
      <w:r w:rsidRPr="00737ACC">
        <w:rPr>
          <w:rFonts w:ascii="Times New Roman" w:hAnsi="Times New Roman" w:cs="Times New Roman"/>
        </w:rPr>
        <w:t xml:space="preserve"> discussed </w:t>
      </w:r>
      <w:r>
        <w:rPr>
          <w:rFonts w:ascii="Times New Roman" w:hAnsi="Times New Roman" w:cs="Times New Roman"/>
        </w:rPr>
        <w:t>throughout</w:t>
      </w:r>
      <w:r w:rsidRPr="00737ACC">
        <w:rPr>
          <w:rFonts w:ascii="Times New Roman" w:hAnsi="Times New Roman" w:cs="Times New Roman"/>
        </w:rPr>
        <w:t xml:space="preserve"> the TRC Report.  A helpful overview of policies </w:t>
      </w:r>
      <w:r>
        <w:rPr>
          <w:rFonts w:ascii="Times New Roman" w:hAnsi="Times New Roman" w:cs="Times New Roman"/>
        </w:rPr>
        <w:t>is</w:t>
      </w:r>
      <w:r w:rsidRPr="00737ACC">
        <w:rPr>
          <w:rFonts w:ascii="Times New Roman" w:hAnsi="Times New Roman" w:cs="Times New Roman"/>
        </w:rPr>
        <w:t xml:space="preserve"> provided in the introduction to the Executive Summary,</w:t>
      </w:r>
      <w:r>
        <w:rPr>
          <w:rFonts w:ascii="Times New Roman" w:hAnsi="Times New Roman" w:cs="Times New Roman"/>
        </w:rPr>
        <w:t xml:space="preserve"> </w:t>
      </w:r>
      <w:r w:rsidRPr="004B4FA6">
        <w:rPr>
          <w:rFonts w:ascii="Times New Roman" w:hAnsi="Times New Roman" w:cs="Times New Roman"/>
          <w:i/>
        </w:rPr>
        <w:t>supra</w:t>
      </w:r>
      <w:r w:rsidRPr="00737ACC">
        <w:rPr>
          <w:rFonts w:ascii="Times New Roman" w:hAnsi="Times New Roman" w:cs="Times New Roman"/>
        </w:rPr>
        <w:t xml:space="preserve"> </w:t>
      </w:r>
      <w:r>
        <w:rPr>
          <w:rFonts w:ascii="Times New Roman" w:hAnsi="Times New Roman" w:cs="Times New Roman"/>
        </w:rPr>
        <w:t xml:space="preserve">note 12 </w:t>
      </w:r>
      <w:r w:rsidRPr="00737ACC">
        <w:rPr>
          <w:rFonts w:ascii="Times New Roman" w:hAnsi="Times New Roman" w:cs="Times New Roman"/>
        </w:rPr>
        <w:t xml:space="preserve">at </w:t>
      </w:r>
      <w:r>
        <w:rPr>
          <w:rFonts w:ascii="Times New Roman" w:hAnsi="Times New Roman" w:cs="Times New Roman"/>
        </w:rPr>
        <w:t>1–22</w:t>
      </w:r>
      <w:r w:rsidRPr="00737ACC">
        <w:rPr>
          <w:rFonts w:ascii="Times New Roman" w:hAnsi="Times New Roman" w:cs="Times New Roman"/>
        </w:rPr>
        <w:t>.</w:t>
      </w:r>
    </w:p>
  </w:footnote>
  <w:footnote w:id="38">
    <w:p w14:paraId="28BF699D" w14:textId="1B77A0D5"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For more on this, see Janna Promislow &amp; Naiomi Metallic, “</w:t>
      </w:r>
      <w:r w:rsidRPr="009B4557">
        <w:rPr>
          <w:rFonts w:ascii="Times New Roman" w:eastAsia="Calibri" w:hAnsi="Times New Roman" w:cs="Times New Roman"/>
          <w:lang w:val="en-US"/>
        </w:rPr>
        <w:t>Realizing Administrative Aboriginal Law</w:t>
      </w:r>
      <w:r>
        <w:rPr>
          <w:rFonts w:ascii="Times New Roman" w:eastAsia="Calibri" w:hAnsi="Times New Roman" w:cs="Times New Roman"/>
          <w:lang w:val="en-US"/>
        </w:rPr>
        <w:t>,</w:t>
      </w:r>
      <w:r w:rsidRPr="009B4557">
        <w:rPr>
          <w:rFonts w:ascii="Times New Roman" w:eastAsia="Calibri" w:hAnsi="Times New Roman" w:cs="Times New Roman"/>
          <w:lang w:val="en-US"/>
        </w:rPr>
        <w:t xml:space="preserve">” in Colleen M Flood &amp; Lorne Sossin, eds, </w:t>
      </w:r>
      <w:r w:rsidRPr="009B4557">
        <w:rPr>
          <w:rFonts w:ascii="Times New Roman" w:eastAsia="Calibri" w:hAnsi="Times New Roman" w:cs="Times New Roman"/>
          <w:i/>
          <w:lang w:val="en-US"/>
        </w:rPr>
        <w:t>Administrative Law in Context</w:t>
      </w:r>
      <w:r w:rsidRPr="009B4557">
        <w:rPr>
          <w:rFonts w:ascii="Times New Roman" w:eastAsia="Calibri" w:hAnsi="Times New Roman" w:cs="Times New Roman"/>
          <w:lang w:val="en-US"/>
        </w:rPr>
        <w:t>, 3d ed</w:t>
      </w:r>
      <w:r>
        <w:rPr>
          <w:rFonts w:ascii="Times New Roman" w:eastAsia="Calibri" w:hAnsi="Times New Roman" w:cs="Times New Roman"/>
          <w:lang w:val="en-US"/>
        </w:rPr>
        <w:t xml:space="preserve"> </w:t>
      </w:r>
      <w:r w:rsidRPr="009B4557">
        <w:rPr>
          <w:rFonts w:ascii="Times New Roman" w:eastAsia="Calibri" w:hAnsi="Times New Roman" w:cs="Times New Roman"/>
          <w:lang w:val="en-US"/>
        </w:rPr>
        <w:t>(Emond Publishing: Toronto, 2017</w:t>
      </w:r>
      <w:r>
        <w:rPr>
          <w:rFonts w:ascii="Times New Roman" w:eastAsia="Calibri" w:hAnsi="Times New Roman" w:cs="Times New Roman"/>
          <w:lang w:val="en-US"/>
        </w:rPr>
        <w:t>), c 3</w:t>
      </w:r>
      <w:r w:rsidRPr="009B4557">
        <w:rPr>
          <w:rFonts w:ascii="Times New Roman" w:eastAsia="Calibri" w:hAnsi="Times New Roman" w:cs="Times New Roman"/>
          <w:lang w:val="en-US"/>
        </w:rPr>
        <w:t>.</w:t>
      </w:r>
    </w:p>
  </w:footnote>
  <w:footnote w:id="39">
    <w:p w14:paraId="43927F1F" w14:textId="02DA52EF"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The SCC eventually provided clarity</w:t>
      </w:r>
      <w:r>
        <w:rPr>
          <w:rFonts w:ascii="Times New Roman" w:hAnsi="Times New Roman" w:cs="Times New Roman"/>
        </w:rPr>
        <w:t xml:space="preserve"> by indicating</w:t>
      </w:r>
      <w:r w:rsidRPr="009B4557">
        <w:rPr>
          <w:rFonts w:ascii="Times New Roman" w:hAnsi="Times New Roman" w:cs="Times New Roman"/>
        </w:rPr>
        <w:t xml:space="preserve"> that s 91(24) includes jurisdiction over Inuit (</w:t>
      </w:r>
      <w:r w:rsidRPr="00E224E6">
        <w:rPr>
          <w:rFonts w:ascii="Times New Roman" w:hAnsi="Times New Roman" w:cs="Times New Roman"/>
          <w:i/>
          <w:iCs/>
        </w:rPr>
        <w:t xml:space="preserve">Re </w:t>
      </w:r>
      <w:r w:rsidRPr="00C571A3">
        <w:rPr>
          <w:rFonts w:ascii="Times New Roman" w:hAnsi="Times New Roman" w:cs="Times New Roman"/>
          <w:i/>
          <w:iCs/>
        </w:rPr>
        <w:t>Eskimos</w:t>
      </w:r>
      <w:r w:rsidRPr="00C571A3">
        <w:rPr>
          <w:rFonts w:ascii="Times New Roman" w:hAnsi="Times New Roman" w:cs="Times New Roman"/>
          <w:iCs/>
        </w:rPr>
        <w:t>,</w:t>
      </w:r>
      <w:r w:rsidRPr="009B4557">
        <w:rPr>
          <w:rFonts w:ascii="Times New Roman" w:hAnsi="Times New Roman" w:cs="Times New Roman"/>
          <w:i/>
        </w:rPr>
        <w:t xml:space="preserve"> </w:t>
      </w:r>
      <w:r w:rsidRPr="004B4FA6">
        <w:rPr>
          <w:rFonts w:ascii="Times New Roman" w:hAnsi="Times New Roman" w:cs="Times New Roman"/>
          <w:i/>
        </w:rPr>
        <w:t>supra</w:t>
      </w:r>
      <w:r w:rsidRPr="004B4FA6">
        <w:rPr>
          <w:rFonts w:ascii="Times New Roman" w:hAnsi="Times New Roman" w:cs="Times New Roman"/>
        </w:rPr>
        <w:t xml:space="preserve"> note 4</w:t>
      </w:r>
      <w:r w:rsidRPr="0033354B">
        <w:rPr>
          <w:rFonts w:ascii="Times New Roman" w:hAnsi="Times New Roman" w:cs="Times New Roman"/>
        </w:rPr>
        <w:t>) and Métis and non-status Indians (</w:t>
      </w:r>
      <w:r w:rsidRPr="0033354B">
        <w:rPr>
          <w:rFonts w:ascii="Times New Roman" w:hAnsi="Times New Roman" w:cs="Times New Roman"/>
          <w:i/>
        </w:rPr>
        <w:t>Daniels</w:t>
      </w:r>
      <w:r w:rsidRPr="00273FC0">
        <w:rPr>
          <w:rFonts w:ascii="Times New Roman" w:hAnsi="Times New Roman" w:cs="Times New Roman"/>
          <w:iCs/>
        </w:rPr>
        <w:t>,</w:t>
      </w:r>
      <w:r w:rsidRPr="00273FC0">
        <w:rPr>
          <w:rFonts w:ascii="Times New Roman" w:hAnsi="Times New Roman" w:cs="Times New Roman"/>
          <w:i/>
        </w:rPr>
        <w:t xml:space="preserve"> supra</w:t>
      </w:r>
      <w:r w:rsidRPr="00A314BA">
        <w:rPr>
          <w:rFonts w:ascii="Times New Roman" w:hAnsi="Times New Roman" w:cs="Times New Roman"/>
          <w:i/>
        </w:rPr>
        <w:t xml:space="preserve"> </w:t>
      </w:r>
      <w:r w:rsidRPr="00A314BA">
        <w:rPr>
          <w:rFonts w:ascii="Times New Roman" w:hAnsi="Times New Roman" w:cs="Times New Roman"/>
        </w:rPr>
        <w:t>note 4).  There continues to be uncertainty, howev</w:t>
      </w:r>
      <w:r w:rsidRPr="009B4557">
        <w:rPr>
          <w:rFonts w:ascii="Times New Roman" w:hAnsi="Times New Roman" w:cs="Times New Roman"/>
        </w:rPr>
        <w:t xml:space="preserve">er, about the extent of the federal responsibility in regards to Métis and non-status Indians.  Arguably, the Supreme Court added to this uncertainty by confirming that the federal government </w:t>
      </w:r>
      <w:r>
        <w:rPr>
          <w:rFonts w:ascii="Times New Roman" w:hAnsi="Times New Roman" w:cs="Times New Roman"/>
        </w:rPr>
        <w:t>has</w:t>
      </w:r>
      <w:r w:rsidRPr="009B4557">
        <w:rPr>
          <w:rFonts w:ascii="Times New Roman" w:hAnsi="Times New Roman" w:cs="Times New Roman"/>
        </w:rPr>
        <w:t xml:space="preserve"> no “duty to legislate” in respect of these groups (see </w:t>
      </w:r>
      <w:r w:rsidRPr="009B4557">
        <w:rPr>
          <w:rFonts w:ascii="Times New Roman" w:hAnsi="Times New Roman" w:cs="Times New Roman"/>
          <w:i/>
        </w:rPr>
        <w:t>Daniel</w:t>
      </w:r>
      <w:r>
        <w:rPr>
          <w:rFonts w:ascii="Times New Roman" w:hAnsi="Times New Roman" w:cs="Times New Roman"/>
          <w:i/>
        </w:rPr>
        <w:t>s</w:t>
      </w:r>
      <w:r w:rsidRPr="009B4557">
        <w:rPr>
          <w:rFonts w:ascii="Times New Roman" w:hAnsi="Times New Roman" w:cs="Times New Roman"/>
        </w:rPr>
        <w:t xml:space="preserve">, </w:t>
      </w:r>
      <w:r>
        <w:rPr>
          <w:rFonts w:ascii="Times New Roman" w:hAnsi="Times New Roman" w:cs="Times New Roman"/>
          <w:i/>
        </w:rPr>
        <w:t>supra</w:t>
      </w:r>
      <w:r>
        <w:rPr>
          <w:rFonts w:ascii="Times New Roman" w:hAnsi="Times New Roman" w:cs="Times New Roman"/>
        </w:rPr>
        <w:t xml:space="preserve"> note 4</w:t>
      </w:r>
      <w:r w:rsidRPr="009B4557">
        <w:rPr>
          <w:rFonts w:ascii="Times New Roman" w:hAnsi="Times New Roman" w:cs="Times New Roman"/>
        </w:rPr>
        <w:t xml:space="preserve"> at para 15). </w:t>
      </w:r>
      <w:r>
        <w:rPr>
          <w:rFonts w:ascii="Times New Roman" w:hAnsi="Times New Roman" w:cs="Times New Roman"/>
        </w:rPr>
        <w:t xml:space="preserve"> </w:t>
      </w:r>
      <w:r w:rsidRPr="009B4557">
        <w:rPr>
          <w:rFonts w:ascii="Times New Roman" w:hAnsi="Times New Roman" w:cs="Times New Roman"/>
        </w:rPr>
        <w:t xml:space="preserve">  </w:t>
      </w:r>
    </w:p>
  </w:footnote>
  <w:footnote w:id="40">
    <w:p w14:paraId="32DBABCB" w14:textId="0678D421"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624B72">
        <w:rPr>
          <w:rFonts w:ascii="Times New Roman" w:hAnsi="Times New Roman" w:cs="Times New Roman"/>
        </w:rPr>
        <w:t>Kent McNeil</w:t>
      </w:r>
      <w:r>
        <w:rPr>
          <w:rFonts w:ascii="Times New Roman" w:hAnsi="Times New Roman" w:cs="Times New Roman"/>
        </w:rPr>
        <w:t>,</w:t>
      </w:r>
      <w:r w:rsidRPr="00624B72">
        <w:rPr>
          <w:rFonts w:ascii="Times New Roman" w:hAnsi="Times New Roman" w:cs="Times New Roman"/>
        </w:rPr>
        <w:t xml:space="preserve"> </w:t>
      </w:r>
      <w:r w:rsidRPr="009B4557">
        <w:rPr>
          <w:rFonts w:ascii="Times New Roman" w:hAnsi="Times New Roman" w:cs="Times New Roman"/>
        </w:rPr>
        <w:t xml:space="preserve">“Fiduciary Obligations and Federal Responsibility for the Aboriginal Peoples,” </w:t>
      </w:r>
      <w:r w:rsidRPr="009B4557">
        <w:rPr>
          <w:rFonts w:ascii="Times New Roman" w:hAnsi="Times New Roman" w:cs="Times New Roman"/>
          <w:i/>
        </w:rPr>
        <w:t>Emerging Justice? Essays on Indigenous Rights in Canada and Australia</w:t>
      </w:r>
      <w:r w:rsidRPr="009B4557">
        <w:rPr>
          <w:rFonts w:ascii="Times New Roman" w:hAnsi="Times New Roman" w:cs="Times New Roman"/>
        </w:rPr>
        <w:t xml:space="preserve"> (Saskatoon: University of Saskatchewan Native Law Centre, 2001) at 309.</w:t>
      </w:r>
    </w:p>
  </w:footnote>
  <w:footnote w:id="41">
    <w:p w14:paraId="5F5ACCA7" w14:textId="3CCE12BA"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Hugh </w:t>
      </w:r>
      <w:proofErr w:type="spellStart"/>
      <w:r w:rsidRPr="009B4557">
        <w:rPr>
          <w:rFonts w:ascii="Times New Roman" w:hAnsi="Times New Roman" w:cs="Times New Roman"/>
        </w:rPr>
        <w:t>Shewell</w:t>
      </w:r>
      <w:proofErr w:type="spellEnd"/>
      <w:r w:rsidRPr="009B4557">
        <w:rPr>
          <w:rFonts w:ascii="Times New Roman" w:hAnsi="Times New Roman" w:cs="Times New Roman"/>
        </w:rPr>
        <w:t xml:space="preserve"> &amp; Annabel </w:t>
      </w:r>
      <w:proofErr w:type="spellStart"/>
      <w:r w:rsidRPr="009B4557">
        <w:rPr>
          <w:rFonts w:ascii="Times New Roman" w:hAnsi="Times New Roman" w:cs="Times New Roman"/>
        </w:rPr>
        <w:t>Spagnut</w:t>
      </w:r>
      <w:proofErr w:type="spellEnd"/>
      <w:r w:rsidRPr="009B4557">
        <w:rPr>
          <w:rFonts w:ascii="Times New Roman" w:hAnsi="Times New Roman" w:cs="Times New Roman"/>
        </w:rPr>
        <w:t xml:space="preserve">, “The First Nations of Canada: Social Welfare and the Quest for Self-Government” in John Dixon &amp; Robert P </w:t>
      </w:r>
      <w:proofErr w:type="spellStart"/>
      <w:r w:rsidRPr="009B4557">
        <w:rPr>
          <w:rFonts w:ascii="Times New Roman" w:hAnsi="Times New Roman" w:cs="Times New Roman"/>
        </w:rPr>
        <w:t>Scheurell</w:t>
      </w:r>
      <w:proofErr w:type="spellEnd"/>
      <w:r w:rsidRPr="009B4557">
        <w:rPr>
          <w:rFonts w:ascii="Times New Roman" w:hAnsi="Times New Roman" w:cs="Times New Roman"/>
        </w:rPr>
        <w:t xml:space="preserve">, eds, </w:t>
      </w:r>
      <w:r w:rsidRPr="009B4557">
        <w:rPr>
          <w:rFonts w:ascii="Times New Roman" w:hAnsi="Times New Roman" w:cs="Times New Roman"/>
          <w:i/>
        </w:rPr>
        <w:t>Social Welfare with Indigenous Peoples</w:t>
      </w:r>
      <w:r w:rsidRPr="009B4557">
        <w:rPr>
          <w:rFonts w:ascii="Times New Roman" w:hAnsi="Times New Roman" w:cs="Times New Roman"/>
        </w:rPr>
        <w:t xml:space="preserve"> (London: Routledge, 1995); AC Hamilton and CM Sinclair, </w:t>
      </w:r>
      <w:r w:rsidRPr="009B4557">
        <w:rPr>
          <w:rFonts w:ascii="Times New Roman" w:hAnsi="Times New Roman" w:cs="Times New Roman"/>
          <w:i/>
        </w:rPr>
        <w:t>The Justice System and Aboriginal People: Report of the Aboriginal Justice Inquiry in Manitoba</w:t>
      </w:r>
      <w:r w:rsidRPr="009B4557">
        <w:rPr>
          <w:rFonts w:ascii="Times New Roman" w:hAnsi="Times New Roman" w:cs="Times New Roman"/>
        </w:rPr>
        <w:t xml:space="preserve">, </w:t>
      </w:r>
      <w:r>
        <w:rPr>
          <w:rFonts w:ascii="Times New Roman" w:hAnsi="Times New Roman" w:cs="Times New Roman"/>
        </w:rPr>
        <w:t>v</w:t>
      </w:r>
      <w:r w:rsidRPr="009B4557">
        <w:rPr>
          <w:rFonts w:ascii="Times New Roman" w:hAnsi="Times New Roman" w:cs="Times New Roman"/>
        </w:rPr>
        <w:t xml:space="preserve">ol. 1 (Winnipeg: Queen’s Printer, 1991) at </w:t>
      </w:r>
      <w:r>
        <w:rPr>
          <w:rFonts w:ascii="Times New Roman" w:hAnsi="Times New Roman" w:cs="Times New Roman"/>
        </w:rPr>
        <w:t>515–20</w:t>
      </w:r>
      <w:r w:rsidRPr="009B4557">
        <w:rPr>
          <w:rFonts w:ascii="Times New Roman" w:hAnsi="Times New Roman" w:cs="Times New Roman"/>
        </w:rPr>
        <w:t>.</w:t>
      </w:r>
    </w:p>
  </w:footnote>
  <w:footnote w:id="42">
    <w:p w14:paraId="567ED549" w14:textId="7624D69C"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For more information see Naiomi Metallic, “A Human Right to Self-Government over First Nation Child and Family Services and Beyond: Implications of the Caring Society Case” (2019) 28:2 JLSP 4.</w:t>
      </w:r>
      <w:r>
        <w:rPr>
          <w:rFonts w:ascii="Times New Roman" w:hAnsi="Times New Roman" w:cs="Times New Roman"/>
        </w:rPr>
        <w:t xml:space="preserve"> </w:t>
      </w:r>
    </w:p>
  </w:footnote>
  <w:footnote w:id="43">
    <w:p w14:paraId="6BD746B6" w14:textId="38CD1152" w:rsidR="0083324D" w:rsidRPr="004F4D32"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eastAsia="Calibri" w:hAnsi="Times New Roman" w:cs="Times New Roman"/>
          <w:lang w:val="en-US"/>
        </w:rPr>
        <w:t>See Promislow &amp; Metallic</w:t>
      </w:r>
      <w:r w:rsidRPr="004B4FA6">
        <w:rPr>
          <w:rFonts w:ascii="Times New Roman" w:eastAsia="Calibri" w:hAnsi="Times New Roman" w:cs="Times New Roman"/>
          <w:lang w:val="en-US"/>
        </w:rPr>
        <w:t xml:space="preserve">, </w:t>
      </w:r>
      <w:r w:rsidRPr="004B4FA6">
        <w:rPr>
          <w:rFonts w:ascii="Times New Roman" w:eastAsia="Calibri" w:hAnsi="Times New Roman" w:cs="Times New Roman"/>
          <w:i/>
          <w:lang w:val="en-US"/>
        </w:rPr>
        <w:t>supra</w:t>
      </w:r>
      <w:r w:rsidRPr="009B4557">
        <w:rPr>
          <w:rFonts w:ascii="Times New Roman" w:eastAsia="Calibri" w:hAnsi="Times New Roman" w:cs="Times New Roman"/>
          <w:lang w:val="en-US"/>
        </w:rPr>
        <w:t xml:space="preserve"> </w:t>
      </w:r>
      <w:r>
        <w:rPr>
          <w:rFonts w:ascii="Times New Roman" w:eastAsia="Calibri" w:hAnsi="Times New Roman" w:cs="Times New Roman"/>
          <w:lang w:val="en-US"/>
        </w:rPr>
        <w:t>note 3</w:t>
      </w:r>
      <w:r w:rsidR="007A1046">
        <w:rPr>
          <w:rFonts w:ascii="Times New Roman" w:eastAsia="Calibri" w:hAnsi="Times New Roman" w:cs="Times New Roman"/>
          <w:lang w:val="en-US"/>
        </w:rPr>
        <w:t>6</w:t>
      </w:r>
      <w:r>
        <w:rPr>
          <w:rFonts w:ascii="Times New Roman" w:eastAsia="Calibri" w:hAnsi="Times New Roman" w:cs="Times New Roman"/>
          <w:lang w:val="en-US"/>
        </w:rPr>
        <w:t xml:space="preserve"> </w:t>
      </w:r>
      <w:r w:rsidRPr="009B4557">
        <w:rPr>
          <w:rFonts w:ascii="Times New Roman" w:eastAsia="Calibri" w:hAnsi="Times New Roman" w:cs="Times New Roman"/>
          <w:lang w:val="en-US"/>
        </w:rPr>
        <w:t xml:space="preserve">at </w:t>
      </w:r>
      <w:r>
        <w:rPr>
          <w:rFonts w:ascii="Times New Roman" w:eastAsia="Calibri" w:hAnsi="Times New Roman" w:cs="Times New Roman"/>
          <w:lang w:val="en-US"/>
        </w:rPr>
        <w:t xml:space="preserve">98–99. While this description of essential service to First Nations peoples largely maintains up to the present, a small but important development has been the passing of the </w:t>
      </w:r>
      <w:r w:rsidRPr="00437167">
        <w:rPr>
          <w:rFonts w:ascii="Times New Roman" w:eastAsia="Calibri" w:hAnsi="Times New Roman" w:cs="Times New Roman"/>
          <w:i/>
          <w:lang w:val="en-US"/>
        </w:rPr>
        <w:t>Department of Indigenous Services Act</w:t>
      </w:r>
      <w:r w:rsidRPr="001C28BB">
        <w:rPr>
          <w:rFonts w:ascii="Times New Roman" w:eastAsia="Calibri" w:hAnsi="Times New Roman" w:cs="Times New Roman"/>
          <w:lang w:val="en-US"/>
        </w:rPr>
        <w:t>, SC 2019, c 29,</w:t>
      </w:r>
      <w:r>
        <w:rPr>
          <w:rFonts w:ascii="Times New Roman" w:eastAsia="Calibri" w:hAnsi="Times New Roman" w:cs="Times New Roman"/>
          <w:lang w:val="en-US"/>
        </w:rPr>
        <w:t xml:space="preserve"> in the summer of 2019.  Section 6(2) of the </w:t>
      </w:r>
      <w:r w:rsidRPr="00740DCD">
        <w:rPr>
          <w:rFonts w:ascii="Times New Roman" w:eastAsia="Calibri" w:hAnsi="Times New Roman" w:cs="Times New Roman"/>
          <w:lang w:val="en-US"/>
        </w:rPr>
        <w:t>Act</w:t>
      </w:r>
      <w:r>
        <w:rPr>
          <w:rFonts w:ascii="Times New Roman" w:eastAsia="Calibri" w:hAnsi="Times New Roman" w:cs="Times New Roman"/>
          <w:lang w:val="en-US"/>
        </w:rPr>
        <w:t xml:space="preserve"> lists nine service areas over which the federal Minister of Indigenous Services is responsible (child and family services, education, health, social development, housing, infrastructure, emergency management, and governance). The </w:t>
      </w:r>
      <w:r w:rsidRPr="00437167">
        <w:rPr>
          <w:rFonts w:ascii="Times New Roman" w:eastAsia="Calibri" w:hAnsi="Times New Roman" w:cs="Times New Roman"/>
          <w:lang w:val="en-US"/>
        </w:rPr>
        <w:t>Act</w:t>
      </w:r>
      <w:r w:rsidRPr="00823ADB">
        <w:rPr>
          <w:rFonts w:ascii="Times New Roman" w:eastAsia="Calibri" w:hAnsi="Times New Roman" w:cs="Times New Roman"/>
          <w:lang w:val="en-US"/>
        </w:rPr>
        <w:t>’</w:t>
      </w:r>
      <w:r>
        <w:rPr>
          <w:rFonts w:ascii="Times New Roman" w:eastAsia="Calibri" w:hAnsi="Times New Roman" w:cs="Times New Roman"/>
          <w:lang w:val="en-US"/>
        </w:rPr>
        <w:t xml:space="preserve">s preamble </w:t>
      </w:r>
      <w:r w:rsidRPr="00823ADB">
        <w:rPr>
          <w:rFonts w:ascii="Times New Roman" w:eastAsia="Calibri" w:hAnsi="Times New Roman" w:cs="Times New Roman"/>
          <w:lang w:val="en-US"/>
        </w:rPr>
        <w:t>also</w:t>
      </w:r>
      <w:r>
        <w:rPr>
          <w:rFonts w:ascii="Times New Roman" w:eastAsia="Calibri" w:hAnsi="Times New Roman" w:cs="Times New Roman"/>
          <w:lang w:val="en-US"/>
        </w:rPr>
        <w:t xml:space="preserve"> prioritizes certain standards in the delivery of these services and s 7 mandates collaboration with Indigenous organizations </w:t>
      </w:r>
      <w:r w:rsidRPr="00F059A0">
        <w:rPr>
          <w:rFonts w:ascii="Times New Roman" w:eastAsia="Calibri" w:hAnsi="Times New Roman" w:cs="Times New Roman"/>
          <w:lang w:val="en-US"/>
        </w:rPr>
        <w:t>in the development, provision, assessment</w:t>
      </w:r>
      <w:r>
        <w:rPr>
          <w:rFonts w:ascii="Times New Roman" w:eastAsia="Calibri" w:hAnsi="Times New Roman" w:cs="Times New Roman"/>
          <w:lang w:val="en-US"/>
        </w:rPr>
        <w:t>,</w:t>
      </w:r>
      <w:r w:rsidRPr="00F059A0">
        <w:rPr>
          <w:rFonts w:ascii="Times New Roman" w:eastAsia="Calibri" w:hAnsi="Times New Roman" w:cs="Times New Roman"/>
          <w:lang w:val="en-US"/>
        </w:rPr>
        <w:t xml:space="preserve"> and improvement of</w:t>
      </w:r>
      <w:r>
        <w:rPr>
          <w:rFonts w:ascii="Times New Roman" w:eastAsia="Calibri" w:hAnsi="Times New Roman" w:cs="Times New Roman"/>
          <w:lang w:val="en-US"/>
        </w:rPr>
        <w:t xml:space="preserve"> these services. For more information on the new Act, see Naiomi Metallic, </w:t>
      </w:r>
      <w:r w:rsidRPr="006535B0">
        <w:rPr>
          <w:rFonts w:ascii="Times New Roman" w:eastAsia="Calibri" w:hAnsi="Times New Roman" w:cs="Times New Roman"/>
          <w:lang w:val="en-US"/>
        </w:rPr>
        <w:t xml:space="preserve">“Making the Most Out of Canada’s New Department of Indigenous Services Act” </w:t>
      </w:r>
      <w:r>
        <w:rPr>
          <w:rFonts w:ascii="Times New Roman" w:eastAsia="Calibri" w:hAnsi="Times New Roman" w:cs="Times New Roman"/>
          <w:lang w:val="en-US"/>
        </w:rPr>
        <w:t xml:space="preserve">(12 August 2019) </w:t>
      </w:r>
      <w:r w:rsidRPr="00437167">
        <w:rPr>
          <w:rFonts w:ascii="Times New Roman" w:eastAsia="Calibri" w:hAnsi="Times New Roman" w:cs="Times New Roman"/>
          <w:i/>
          <w:lang w:val="en-US"/>
        </w:rPr>
        <w:t>Yellowhead Institute</w:t>
      </w:r>
      <w:r>
        <w:rPr>
          <w:rFonts w:ascii="Times New Roman" w:eastAsia="Calibri" w:hAnsi="Times New Roman" w:cs="Times New Roman"/>
          <w:lang w:val="en-US"/>
        </w:rPr>
        <w:t xml:space="preserve"> </w:t>
      </w:r>
      <w:r>
        <w:rPr>
          <w:rFonts w:ascii="Times New Roman" w:eastAsia="Calibri" w:hAnsi="Times New Roman" w:cs="Times New Roman"/>
          <w:i/>
          <w:lang w:val="en-US"/>
        </w:rPr>
        <w:t>Briefs</w:t>
      </w:r>
      <w:r>
        <w:rPr>
          <w:rFonts w:ascii="Times New Roman" w:eastAsia="Calibri" w:hAnsi="Times New Roman" w:cs="Times New Roman"/>
          <w:lang w:val="en-US"/>
        </w:rPr>
        <w:t xml:space="preserve">. Heretofore, Canada had been unwilling to acknowledge even this level of responsibility in relation to services to Indigenous peoples and maintained that any services provided to First Nations outside the </w:t>
      </w:r>
      <w:r>
        <w:rPr>
          <w:rFonts w:ascii="Times New Roman" w:eastAsia="Calibri" w:hAnsi="Times New Roman" w:cs="Times New Roman"/>
          <w:i/>
          <w:lang w:val="en-US"/>
        </w:rPr>
        <w:t>Indian Act</w:t>
      </w:r>
      <w:r>
        <w:rPr>
          <w:rFonts w:ascii="Times New Roman" w:eastAsia="Calibri" w:hAnsi="Times New Roman" w:cs="Times New Roman"/>
          <w:lang w:val="en-US"/>
        </w:rPr>
        <w:t xml:space="preserve"> were undertaken as a matter of good public policy and not due to any legal obligation. See Canada, Indian and Northern Affairs Canada, </w:t>
      </w:r>
      <w:r>
        <w:rPr>
          <w:rFonts w:ascii="Times New Roman" w:eastAsia="Calibri" w:hAnsi="Times New Roman" w:cs="Times New Roman"/>
          <w:i/>
          <w:lang w:val="en-US"/>
        </w:rPr>
        <w:t>Income Assistance Program National Manual</w:t>
      </w:r>
      <w:r>
        <w:rPr>
          <w:rFonts w:ascii="Times New Roman" w:eastAsia="Calibri" w:hAnsi="Times New Roman" w:cs="Times New Roman"/>
          <w:lang w:val="en-US"/>
        </w:rPr>
        <w:t xml:space="preserve"> (Ottawa: Indian and Northern Affairs Canada, 2005) at 15.  See also Constance MacIntosh, “</w:t>
      </w:r>
      <w:r w:rsidRPr="00403FB6">
        <w:rPr>
          <w:rFonts w:ascii="Times New Roman" w:eastAsia="Calibri" w:hAnsi="Times New Roman" w:cs="Times New Roman"/>
          <w:lang w:val="en-US"/>
        </w:rPr>
        <w:t>Jurisdictional Roulette: Constitutional and Structural Barriers to Aboriginal Access to Health” in</w:t>
      </w:r>
      <w:r>
        <w:rPr>
          <w:rFonts w:ascii="Times New Roman" w:eastAsia="Calibri" w:hAnsi="Times New Roman" w:cs="Times New Roman"/>
          <w:lang w:val="en-US"/>
        </w:rPr>
        <w:t xml:space="preserve"> Colleen Flood, ed,</w:t>
      </w:r>
      <w:r w:rsidRPr="00403FB6">
        <w:rPr>
          <w:rFonts w:ascii="Times New Roman" w:eastAsia="Calibri" w:hAnsi="Times New Roman" w:cs="Times New Roman"/>
          <w:lang w:val="en-US"/>
        </w:rPr>
        <w:t xml:space="preserve"> </w:t>
      </w:r>
      <w:r w:rsidRPr="00437167">
        <w:rPr>
          <w:rFonts w:ascii="Times New Roman" w:eastAsia="Calibri" w:hAnsi="Times New Roman" w:cs="Times New Roman"/>
          <w:i/>
          <w:iCs/>
          <w:lang w:val="en-US"/>
        </w:rPr>
        <w:t>Frontiers of Fairness</w:t>
      </w:r>
      <w:r w:rsidRPr="00403FB6">
        <w:rPr>
          <w:rFonts w:ascii="Times New Roman" w:eastAsia="Calibri" w:hAnsi="Times New Roman" w:cs="Times New Roman"/>
          <w:lang w:val="en-US"/>
        </w:rPr>
        <w:t xml:space="preserve"> (Toronto: University of Toronto Press, 2005) </w:t>
      </w:r>
      <w:r w:rsidRPr="00B47762">
        <w:rPr>
          <w:rFonts w:ascii="Times New Roman" w:eastAsia="Calibri" w:hAnsi="Times New Roman" w:cs="Times New Roman"/>
          <w:lang w:val="en-US"/>
        </w:rPr>
        <w:t>193 at 197.</w:t>
      </w:r>
      <w:r>
        <w:rPr>
          <w:rFonts w:ascii="Times New Roman" w:eastAsia="Calibri" w:hAnsi="Times New Roman" w:cs="Times New Roman"/>
          <w:lang w:val="en-US"/>
        </w:rPr>
        <w:t xml:space="preserve"> </w:t>
      </w:r>
    </w:p>
  </w:footnote>
  <w:footnote w:id="44">
    <w:p w14:paraId="7D199459" w14:textId="59F43A16"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Judith Rae, “Program Delivery Devolution: A Stepping Stone of Quagmire for First Nations?” (2009) </w:t>
      </w:r>
      <w:r>
        <w:rPr>
          <w:rFonts w:ascii="Times New Roman" w:hAnsi="Times New Roman" w:cs="Times New Roman"/>
        </w:rPr>
        <w:t>7:2</w:t>
      </w:r>
      <w:r w:rsidRPr="009B4557">
        <w:rPr>
          <w:rFonts w:ascii="Times New Roman" w:hAnsi="Times New Roman" w:cs="Times New Roman"/>
        </w:rPr>
        <w:t xml:space="preserve"> Indigenous LJ 1; MacIntosh, </w:t>
      </w:r>
      <w:r>
        <w:rPr>
          <w:rFonts w:ascii="Times New Roman" w:hAnsi="Times New Roman" w:cs="Times New Roman"/>
          <w:i/>
          <w:iCs/>
        </w:rPr>
        <w:t xml:space="preserve">supra </w:t>
      </w:r>
      <w:r>
        <w:rPr>
          <w:rFonts w:ascii="Times New Roman" w:hAnsi="Times New Roman" w:cs="Times New Roman"/>
        </w:rPr>
        <w:t>note 5</w:t>
      </w:r>
      <w:r w:rsidR="007A1046">
        <w:rPr>
          <w:rFonts w:ascii="Times New Roman" w:hAnsi="Times New Roman" w:cs="Times New Roman"/>
        </w:rPr>
        <w:t>1</w:t>
      </w:r>
      <w:r>
        <w:rPr>
          <w:rFonts w:ascii="Times New Roman" w:hAnsi="Times New Roman" w:cs="Times New Roman"/>
        </w:rPr>
        <w:t>;</w:t>
      </w:r>
      <w:r w:rsidRPr="009B4557">
        <w:rPr>
          <w:rFonts w:ascii="Times New Roman" w:hAnsi="Times New Roman" w:cs="Times New Roman"/>
        </w:rPr>
        <w:t xml:space="preserve"> Auditor General of Canada, 2011 Status Report of the Auditor General of Canada to the House of Commons, Chapter 4, “Programs for First Nations on Reserves”; Constance MacIntosh, “Indigenous Peoples and Mental Health: The Role of Law and Policy” in Colleen Floo</w:t>
      </w:r>
      <w:r>
        <w:rPr>
          <w:rFonts w:ascii="Times New Roman" w:hAnsi="Times New Roman" w:cs="Times New Roman"/>
        </w:rPr>
        <w:t>d</w:t>
      </w:r>
      <w:r w:rsidRPr="009B4557">
        <w:rPr>
          <w:rFonts w:ascii="Times New Roman" w:hAnsi="Times New Roman" w:cs="Times New Roman"/>
        </w:rPr>
        <w:t xml:space="preserve"> </w:t>
      </w:r>
      <w:r>
        <w:rPr>
          <w:rFonts w:ascii="Times New Roman" w:hAnsi="Times New Roman" w:cs="Times New Roman"/>
        </w:rPr>
        <w:t>&amp;</w:t>
      </w:r>
      <w:r w:rsidRPr="009B4557">
        <w:rPr>
          <w:rFonts w:ascii="Times New Roman" w:hAnsi="Times New Roman" w:cs="Times New Roman"/>
        </w:rPr>
        <w:t xml:space="preserve"> Jennifer Chandler, eds</w:t>
      </w:r>
      <w:r>
        <w:rPr>
          <w:rFonts w:ascii="Times New Roman" w:hAnsi="Times New Roman" w:cs="Times New Roman"/>
        </w:rPr>
        <w:t>,</w:t>
      </w:r>
      <w:r w:rsidRPr="009B4557" w:rsidDel="00807858">
        <w:rPr>
          <w:rFonts w:ascii="Times New Roman" w:hAnsi="Times New Roman" w:cs="Times New Roman"/>
        </w:rPr>
        <w:t xml:space="preserve"> </w:t>
      </w:r>
      <w:r>
        <w:rPr>
          <w:rFonts w:ascii="Times New Roman" w:hAnsi="Times New Roman" w:cs="Times New Roman"/>
          <w:i/>
        </w:rPr>
        <w:t xml:space="preserve">Law and Mind: </w:t>
      </w:r>
      <w:r w:rsidRPr="00684B3E">
        <w:rPr>
          <w:rFonts w:ascii="Times New Roman" w:hAnsi="Times New Roman" w:cs="Times New Roman"/>
          <w:i/>
          <w:iCs/>
        </w:rPr>
        <w:t>Mental Health Law and Policy</w:t>
      </w:r>
      <w:r w:rsidRPr="009B4557">
        <w:rPr>
          <w:rFonts w:ascii="Times New Roman" w:hAnsi="Times New Roman" w:cs="Times New Roman"/>
        </w:rPr>
        <w:t xml:space="preserve">  (LexisNexis</w:t>
      </w:r>
      <w:r>
        <w:rPr>
          <w:rFonts w:ascii="Times New Roman" w:hAnsi="Times New Roman" w:cs="Times New Roman"/>
        </w:rPr>
        <w:t xml:space="preserve"> Canada,</w:t>
      </w:r>
      <w:r w:rsidRPr="009B4557">
        <w:rPr>
          <w:rFonts w:ascii="Times New Roman" w:hAnsi="Times New Roman" w:cs="Times New Roman"/>
        </w:rPr>
        <w:t xml:space="preserve"> 2016); and Metallic, </w:t>
      </w:r>
      <w:r w:rsidRPr="004B4FA6">
        <w:rPr>
          <w:rFonts w:ascii="Times New Roman" w:hAnsi="Times New Roman" w:cs="Times New Roman"/>
          <w:i/>
        </w:rPr>
        <w:t>supra</w:t>
      </w:r>
      <w:r>
        <w:rPr>
          <w:rFonts w:ascii="Times New Roman" w:hAnsi="Times New Roman" w:cs="Times New Roman"/>
        </w:rPr>
        <w:t xml:space="preserve"> note </w:t>
      </w:r>
      <w:r w:rsidR="007A1046">
        <w:rPr>
          <w:rFonts w:ascii="Times New Roman" w:hAnsi="Times New Roman" w:cs="Times New Roman"/>
        </w:rPr>
        <w:t>40</w:t>
      </w:r>
      <w:r w:rsidRPr="009B4557">
        <w:rPr>
          <w:rFonts w:ascii="Times New Roman" w:hAnsi="Times New Roman" w:cs="Times New Roman"/>
        </w:rPr>
        <w:t>.</w:t>
      </w:r>
      <w:r>
        <w:rPr>
          <w:rFonts w:ascii="Times New Roman" w:hAnsi="Times New Roman" w:cs="Times New Roman"/>
        </w:rPr>
        <w:t xml:space="preserve">  </w:t>
      </w:r>
    </w:p>
  </w:footnote>
  <w:footnote w:id="45">
    <w:p w14:paraId="788245DE" w14:textId="1BE97DE3"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iCs/>
        </w:rPr>
        <w:t xml:space="preserve">Reclaiming Power and Place </w:t>
      </w:r>
      <w:r w:rsidRPr="00807858">
        <w:rPr>
          <w:rFonts w:ascii="Times New Roman" w:eastAsia="Calibri" w:hAnsi="Times New Roman" w:cs="Times New Roman"/>
          <w:i/>
          <w:iCs/>
          <w:lang w:val="en-US"/>
        </w:rPr>
        <w:t>–</w:t>
      </w:r>
      <w:r w:rsidRPr="009B4557">
        <w:rPr>
          <w:rFonts w:ascii="Times New Roman" w:hAnsi="Times New Roman" w:cs="Times New Roman"/>
          <w:i/>
          <w:iCs/>
        </w:rPr>
        <w:t xml:space="preserve"> The Final Report of the National Inquiry into Missing and Murdered Indigenous Women and Girls</w:t>
      </w:r>
      <w:r w:rsidRPr="009B4557">
        <w:rPr>
          <w:rFonts w:ascii="Times New Roman" w:hAnsi="Times New Roman" w:cs="Times New Roman"/>
        </w:rPr>
        <w:t xml:space="preserve">, </w:t>
      </w:r>
      <w:r>
        <w:rPr>
          <w:rFonts w:ascii="Times New Roman" w:hAnsi="Times New Roman" w:cs="Times New Roman"/>
        </w:rPr>
        <w:t>vol</w:t>
      </w:r>
      <w:r w:rsidRPr="009B4557">
        <w:rPr>
          <w:rFonts w:ascii="Times New Roman" w:hAnsi="Times New Roman" w:cs="Times New Roman"/>
        </w:rPr>
        <w:t xml:space="preserve"> 1</w:t>
      </w:r>
      <w:r>
        <w:rPr>
          <w:rFonts w:ascii="Times New Roman" w:hAnsi="Times New Roman" w:cs="Times New Roman"/>
        </w:rPr>
        <w:t>a (Canada, 2019)</w:t>
      </w:r>
      <w:r w:rsidRPr="009B4557">
        <w:rPr>
          <w:rFonts w:ascii="Times New Roman" w:hAnsi="Times New Roman" w:cs="Times New Roman"/>
        </w:rPr>
        <w:t xml:space="preserve"> at 567.  Emphasis added.</w:t>
      </w:r>
    </w:p>
  </w:footnote>
  <w:footnote w:id="46">
    <w:p w14:paraId="2A40A778" w14:textId="0C121A25"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for example</w:t>
      </w:r>
      <w:r>
        <w:rPr>
          <w:rFonts w:ascii="Times New Roman" w:hAnsi="Times New Roman" w:cs="Times New Roman"/>
        </w:rPr>
        <w:t>,</w:t>
      </w:r>
      <w:r w:rsidRPr="009B4557">
        <w:rPr>
          <w:rFonts w:ascii="Times New Roman" w:hAnsi="Times New Roman" w:cs="Times New Roman"/>
        </w:rPr>
        <w:t xml:space="preserve"> the articles in </w:t>
      </w:r>
      <w:r w:rsidRPr="009B4557">
        <w:rPr>
          <w:rFonts w:ascii="Times New Roman" w:hAnsi="Times New Roman" w:cs="Times New Roman"/>
          <w:i/>
          <w:lang w:val="en-US"/>
        </w:rPr>
        <w:t>Aboriginal Self-Government in Canada: Current Trends and Issues</w:t>
      </w:r>
      <w:r w:rsidRPr="009B4557">
        <w:rPr>
          <w:rFonts w:ascii="Times New Roman" w:hAnsi="Times New Roman" w:cs="Times New Roman"/>
          <w:lang w:val="en-US"/>
        </w:rPr>
        <w:t xml:space="preserve">, John H </w:t>
      </w:r>
      <w:proofErr w:type="spellStart"/>
      <w:r w:rsidRPr="009B4557">
        <w:rPr>
          <w:rFonts w:ascii="Times New Roman" w:hAnsi="Times New Roman" w:cs="Times New Roman"/>
          <w:lang w:val="en-US"/>
        </w:rPr>
        <w:t>Hylton</w:t>
      </w:r>
      <w:proofErr w:type="spellEnd"/>
      <w:r w:rsidRPr="009B4557">
        <w:rPr>
          <w:rFonts w:ascii="Times New Roman" w:hAnsi="Times New Roman" w:cs="Times New Roman"/>
          <w:lang w:val="en-US"/>
        </w:rPr>
        <w:t xml:space="preserve">, ed, 2nd ed (Saskatoon: </w:t>
      </w:r>
      <w:proofErr w:type="spellStart"/>
      <w:r w:rsidRPr="009B4557">
        <w:rPr>
          <w:rFonts w:ascii="Times New Roman" w:hAnsi="Times New Roman" w:cs="Times New Roman"/>
          <w:lang w:val="en-US"/>
        </w:rPr>
        <w:t>Purich</w:t>
      </w:r>
      <w:proofErr w:type="spellEnd"/>
      <w:r w:rsidRPr="009B4557">
        <w:rPr>
          <w:rFonts w:ascii="Times New Roman" w:hAnsi="Times New Roman" w:cs="Times New Roman"/>
          <w:lang w:val="en-US"/>
        </w:rPr>
        <w:t xml:space="preserve"> Publishing Ltd, 1999); Sonia Harris-Short, </w:t>
      </w:r>
      <w:r w:rsidRPr="009B4557">
        <w:rPr>
          <w:rFonts w:ascii="Times New Roman" w:hAnsi="Times New Roman" w:cs="Times New Roman"/>
          <w:i/>
          <w:lang w:val="en-US"/>
        </w:rPr>
        <w:t xml:space="preserve">Aboriginal Child Welfare, Self-Government and the Rights of Indigenous Children – </w:t>
      </w:r>
      <w:r>
        <w:rPr>
          <w:rFonts w:ascii="Times New Roman" w:hAnsi="Times New Roman" w:cs="Times New Roman"/>
          <w:i/>
          <w:lang w:val="en-US"/>
        </w:rPr>
        <w:t>Protecting</w:t>
      </w:r>
      <w:r w:rsidRPr="009B4557">
        <w:rPr>
          <w:rFonts w:ascii="Times New Roman" w:hAnsi="Times New Roman" w:cs="Times New Roman"/>
          <w:i/>
          <w:lang w:val="en-US"/>
        </w:rPr>
        <w:t xml:space="preserve"> the Vulnerable Under International Law</w:t>
      </w:r>
      <w:r w:rsidRPr="009B4557">
        <w:rPr>
          <w:rFonts w:ascii="Times New Roman" w:hAnsi="Times New Roman" w:cs="Times New Roman"/>
          <w:lang w:val="en-US"/>
        </w:rPr>
        <w:t xml:space="preserve"> (Burlington: Ashgate Publishing Company, 2012) at 11–12; </w:t>
      </w:r>
      <w:bookmarkStart w:id="13" w:name="_Hlk39485106"/>
      <w:r w:rsidRPr="009B4557">
        <w:rPr>
          <w:rFonts w:ascii="Times New Roman" w:hAnsi="Times New Roman" w:cs="Times New Roman"/>
          <w:lang w:val="en-US"/>
        </w:rPr>
        <w:t>Martin Papillon, “Aboriginal Quality of Life under a Modern Treaty”</w:t>
      </w:r>
      <w:r>
        <w:rPr>
          <w:rFonts w:ascii="Times New Roman" w:hAnsi="Times New Roman" w:cs="Times New Roman"/>
          <w:lang w:val="en-US"/>
        </w:rPr>
        <w:t xml:space="preserve"> (</w:t>
      </w:r>
      <w:r w:rsidRPr="009B4557">
        <w:rPr>
          <w:rFonts w:ascii="Times New Roman" w:hAnsi="Times New Roman" w:cs="Times New Roman"/>
          <w:lang w:val="en-US"/>
        </w:rPr>
        <w:t>August 2008</w:t>
      </w:r>
      <w:r>
        <w:rPr>
          <w:rFonts w:ascii="Times New Roman" w:hAnsi="Times New Roman" w:cs="Times New Roman"/>
          <w:lang w:val="en-US"/>
        </w:rPr>
        <w:t xml:space="preserve">) 14:9 </w:t>
      </w:r>
      <w:r w:rsidRPr="009B4557">
        <w:rPr>
          <w:rFonts w:ascii="Times New Roman" w:hAnsi="Times New Roman" w:cs="Times New Roman"/>
          <w:lang w:val="en-US"/>
        </w:rPr>
        <w:t>IRPP Choices</w:t>
      </w:r>
      <w:r>
        <w:rPr>
          <w:rFonts w:ascii="Times New Roman" w:hAnsi="Times New Roman" w:cs="Times New Roman"/>
          <w:lang w:val="en-US"/>
        </w:rPr>
        <w:t xml:space="preserve"> 4</w:t>
      </w:r>
      <w:bookmarkEnd w:id="13"/>
      <w:r w:rsidRPr="009B4557">
        <w:rPr>
          <w:rFonts w:ascii="Times New Roman" w:hAnsi="Times New Roman" w:cs="Times New Roman"/>
          <w:lang w:val="en-US"/>
        </w:rPr>
        <w:t>.</w:t>
      </w:r>
    </w:p>
  </w:footnote>
  <w:footnote w:id="47">
    <w:p w14:paraId="7AD3AD33" w14:textId="5288831C"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C5105">
        <w:rPr>
          <w:rFonts w:ascii="Times New Roman" w:hAnsi="Times New Roman" w:cs="Times New Roman"/>
          <w:lang w:val="en-US"/>
        </w:rPr>
        <w:t xml:space="preserve">John H </w:t>
      </w:r>
      <w:proofErr w:type="spellStart"/>
      <w:r w:rsidRPr="009C5105">
        <w:rPr>
          <w:rFonts w:ascii="Times New Roman" w:hAnsi="Times New Roman" w:cs="Times New Roman"/>
          <w:lang w:val="en-US"/>
        </w:rPr>
        <w:t>Hylton</w:t>
      </w:r>
      <w:proofErr w:type="spellEnd"/>
      <w:r>
        <w:rPr>
          <w:rFonts w:ascii="Times New Roman" w:hAnsi="Times New Roman" w:cs="Times New Roman"/>
          <w:lang w:val="en-US"/>
        </w:rPr>
        <w:t>,</w:t>
      </w:r>
      <w:r w:rsidRPr="009C5105">
        <w:rPr>
          <w:rFonts w:ascii="Times New Roman" w:hAnsi="Times New Roman" w:cs="Times New Roman"/>
          <w:lang w:val="en-US"/>
        </w:rPr>
        <w:t xml:space="preserve"> </w:t>
      </w:r>
      <w:r w:rsidRPr="009B4557">
        <w:rPr>
          <w:rFonts w:ascii="Times New Roman" w:hAnsi="Times New Roman" w:cs="Times New Roman"/>
          <w:lang w:val="en-US"/>
        </w:rPr>
        <w:t>“The Case for Self-Government: A Social Policy Perspective</w:t>
      </w:r>
      <w:r>
        <w:rPr>
          <w:rFonts w:ascii="Times New Roman" w:hAnsi="Times New Roman" w:cs="Times New Roman"/>
          <w:lang w:val="en-US"/>
        </w:rPr>
        <w:t>,</w:t>
      </w:r>
      <w:r w:rsidRPr="009B4557">
        <w:rPr>
          <w:rFonts w:ascii="Times New Roman" w:hAnsi="Times New Roman" w:cs="Times New Roman"/>
          <w:lang w:val="en-US"/>
        </w:rPr>
        <w:t xml:space="preserve">” in </w:t>
      </w:r>
      <w:r w:rsidRPr="009B4557">
        <w:rPr>
          <w:rFonts w:ascii="Times New Roman" w:hAnsi="Times New Roman" w:cs="Times New Roman"/>
          <w:i/>
          <w:iCs/>
          <w:lang w:val="en-US"/>
        </w:rPr>
        <w:t>Aboriginal Self-Government in Canada – Current Trends and Issues</w:t>
      </w:r>
      <w:r w:rsidRPr="009B4557">
        <w:rPr>
          <w:rFonts w:ascii="Times New Roman" w:hAnsi="Times New Roman" w:cs="Times New Roman"/>
          <w:lang w:val="en-US"/>
        </w:rPr>
        <w:t xml:space="preserve">, </w:t>
      </w:r>
      <w:r w:rsidRPr="00684B3E">
        <w:rPr>
          <w:rFonts w:ascii="Times New Roman" w:hAnsi="Times New Roman" w:cs="Times New Roman"/>
          <w:i/>
          <w:lang w:val="en-US"/>
        </w:rPr>
        <w:t>ibid</w:t>
      </w:r>
      <w:r w:rsidRPr="009B4557">
        <w:rPr>
          <w:rFonts w:ascii="Times New Roman" w:hAnsi="Times New Roman" w:cs="Times New Roman"/>
          <w:lang w:val="en-US"/>
        </w:rPr>
        <w:t xml:space="preserve"> at 78.</w:t>
      </w:r>
    </w:p>
  </w:footnote>
  <w:footnote w:id="48">
    <w:p w14:paraId="4161886C" w14:textId="7C34358C"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Patrick Johnston, </w:t>
      </w:r>
      <w:r w:rsidRPr="009B4557">
        <w:rPr>
          <w:rFonts w:ascii="Times New Roman" w:hAnsi="Times New Roman" w:cs="Times New Roman"/>
          <w:i/>
          <w:iCs/>
        </w:rPr>
        <w:t>Native Children and the Child Welfare System</w:t>
      </w:r>
      <w:r w:rsidRPr="009B4557">
        <w:rPr>
          <w:rFonts w:ascii="Times New Roman" w:hAnsi="Times New Roman" w:cs="Times New Roman"/>
        </w:rPr>
        <w:t xml:space="preserve"> (</w:t>
      </w:r>
      <w:r>
        <w:rPr>
          <w:rFonts w:ascii="Times New Roman" w:hAnsi="Times New Roman" w:cs="Times New Roman"/>
        </w:rPr>
        <w:t xml:space="preserve">Toronto: </w:t>
      </w:r>
      <w:r w:rsidRPr="009B4557">
        <w:rPr>
          <w:rFonts w:ascii="Times New Roman" w:hAnsi="Times New Roman" w:cs="Times New Roman"/>
        </w:rPr>
        <w:t>Canadian Council on Social Development in association with James Lorimer &amp; Company, 1983); and Rose-Alma J McDonald et al</w:t>
      </w:r>
      <w:r>
        <w:rPr>
          <w:rFonts w:ascii="Times New Roman" w:hAnsi="Times New Roman" w:cs="Times New Roman"/>
        </w:rPr>
        <w:t>.</w:t>
      </w:r>
      <w:r w:rsidRPr="009B4557">
        <w:rPr>
          <w:rFonts w:ascii="Times New Roman" w:hAnsi="Times New Roman" w:cs="Times New Roman"/>
        </w:rPr>
        <w:t xml:space="preserve">, </w:t>
      </w:r>
      <w:r w:rsidRPr="009B4557">
        <w:rPr>
          <w:rFonts w:ascii="Times New Roman" w:hAnsi="Times New Roman" w:cs="Times New Roman"/>
          <w:i/>
          <w:iCs/>
        </w:rPr>
        <w:t>First Nations Child and Family Services: Joint National Policy Review</w:t>
      </w:r>
      <w:r w:rsidRPr="009B4557">
        <w:rPr>
          <w:rFonts w:ascii="Times New Roman" w:hAnsi="Times New Roman" w:cs="Times New Roman"/>
        </w:rPr>
        <w:t xml:space="preserve"> (Ottawa: Assembly of First Nations &amp; Indian and Northern Affairs Development, 2000).</w:t>
      </w:r>
    </w:p>
  </w:footnote>
  <w:footnote w:id="49">
    <w:p w14:paraId="1BC7D01E" w14:textId="3553010A"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Statistics Canada, “Study: Living Arrangements of Aboriginal Children Aged 14 and Under, 2011”, in Insights on Canadian Society, Catalogue No 75-006-X (Ottawa: Statistics Canada, 13 April 2016); </w:t>
      </w:r>
      <w:r w:rsidRPr="006567BE">
        <w:rPr>
          <w:rFonts w:ascii="Times New Roman" w:hAnsi="Times New Roman" w:cs="Times New Roman"/>
          <w:i/>
        </w:rPr>
        <w:t>Aboriginal Children in Care Working Group:</w:t>
      </w:r>
      <w:r w:rsidRPr="009B4557">
        <w:rPr>
          <w:rFonts w:ascii="Times New Roman" w:hAnsi="Times New Roman" w:cs="Times New Roman"/>
          <w:i/>
        </w:rPr>
        <w:t xml:space="preserve"> Report to Canada’s Premiers</w:t>
      </w:r>
      <w:r w:rsidRPr="009B4557">
        <w:rPr>
          <w:rFonts w:ascii="Times New Roman" w:hAnsi="Times New Roman" w:cs="Times New Roman"/>
        </w:rPr>
        <w:t xml:space="preserve"> (July 2015) at 7.</w:t>
      </w:r>
    </w:p>
  </w:footnote>
  <w:footnote w:id="50">
    <w:p w14:paraId="4A487AA3" w14:textId="448918FE"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351532">
        <w:rPr>
          <w:rFonts w:ascii="Times New Roman" w:hAnsi="Times New Roman" w:cs="Times New Roman"/>
        </w:rPr>
        <w:t xml:space="preserve">Ontario Human Rights Commission, </w:t>
      </w:r>
      <w:r w:rsidRPr="00351532">
        <w:rPr>
          <w:rFonts w:ascii="Times New Roman" w:hAnsi="Times New Roman" w:cs="Times New Roman"/>
          <w:i/>
          <w:iCs/>
        </w:rPr>
        <w:t>Report</w:t>
      </w:r>
      <w:r w:rsidRPr="00351532">
        <w:rPr>
          <w:rFonts w:ascii="Times New Roman" w:hAnsi="Times New Roman" w:cs="Times New Roman"/>
        </w:rPr>
        <w:t xml:space="preserve">, </w:t>
      </w:r>
      <w:r w:rsidRPr="00351532">
        <w:rPr>
          <w:rFonts w:ascii="Times New Roman" w:hAnsi="Times New Roman" w:cs="Times New Roman"/>
          <w:i/>
        </w:rPr>
        <w:t>Interrupted childhoods: Over-representation of Indigenous and Black children in Ontario child welfare</w:t>
      </w:r>
      <w:r w:rsidRPr="00351532">
        <w:rPr>
          <w:rFonts w:ascii="Times New Roman" w:hAnsi="Times New Roman" w:cs="Times New Roman"/>
        </w:rPr>
        <w:t xml:space="preserve"> (Toronto: Ontario Human Rights Commission, February 2018) at 28.</w:t>
      </w:r>
      <w:r>
        <w:rPr>
          <w:rFonts w:ascii="Times New Roman" w:hAnsi="Times New Roman" w:cs="Times New Roman"/>
        </w:rPr>
        <w:t xml:space="preserve"> </w:t>
      </w:r>
    </w:p>
  </w:footnote>
  <w:footnote w:id="51">
    <w:p w14:paraId="208556B3" w14:textId="7DA05CE8"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9B4557">
        <w:rPr>
          <w:rFonts w:ascii="Times New Roman" w:hAnsi="Times New Roman" w:cs="Times New Roman"/>
          <w:i/>
        </w:rPr>
        <w:t>Brown v Canada (Attorney General),</w:t>
      </w:r>
      <w:r w:rsidRPr="009B4557">
        <w:rPr>
          <w:rFonts w:ascii="Times New Roman" w:hAnsi="Times New Roman" w:cs="Times New Roman"/>
        </w:rPr>
        <w:t xml:space="preserve"> 2017 ONSC 251.</w:t>
      </w:r>
    </w:p>
  </w:footnote>
  <w:footnote w:id="52">
    <w:p w14:paraId="15ACD0D0" w14:textId="09653284"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Johnston, </w:t>
      </w:r>
      <w:r w:rsidRPr="00BA44C1">
        <w:rPr>
          <w:rFonts w:ascii="Times New Roman" w:hAnsi="Times New Roman" w:cs="Times New Roman"/>
          <w:i/>
        </w:rPr>
        <w:t>supra</w:t>
      </w:r>
      <w:r>
        <w:rPr>
          <w:rFonts w:ascii="Times New Roman" w:hAnsi="Times New Roman" w:cs="Times New Roman"/>
          <w:i/>
        </w:rPr>
        <w:t xml:space="preserve"> </w:t>
      </w:r>
      <w:r>
        <w:rPr>
          <w:rFonts w:ascii="Times New Roman" w:hAnsi="Times New Roman" w:cs="Times New Roman"/>
        </w:rPr>
        <w:t>note 4</w:t>
      </w:r>
      <w:r w:rsidR="007A1046">
        <w:rPr>
          <w:rFonts w:ascii="Times New Roman" w:hAnsi="Times New Roman" w:cs="Times New Roman"/>
        </w:rPr>
        <w:t>6</w:t>
      </w:r>
      <w:r w:rsidRPr="009B4557">
        <w:rPr>
          <w:rFonts w:ascii="Times New Roman" w:hAnsi="Times New Roman" w:cs="Times New Roman"/>
        </w:rPr>
        <w:t>.</w:t>
      </w:r>
    </w:p>
  </w:footnote>
  <w:footnote w:id="53">
    <w:p w14:paraId="27B1BA93" w14:textId="50975E08" w:rsidR="0083324D" w:rsidRPr="00BC6232" w:rsidRDefault="0083324D" w:rsidP="005021E9">
      <w:pPr>
        <w:pStyle w:val="FootnoteText"/>
        <w:jc w:val="both"/>
        <w:rPr>
          <w:rFonts w:ascii="Times New Roman" w:hAnsi="Times New Roman" w:cs="Times New Roman"/>
          <w:lang w:val="fr-CA"/>
        </w:rPr>
      </w:pPr>
      <w:r w:rsidRPr="009B4557">
        <w:rPr>
          <w:rStyle w:val="FootnoteReference"/>
          <w:rFonts w:ascii="Times New Roman" w:hAnsi="Times New Roman" w:cs="Times New Roman"/>
        </w:rPr>
        <w:footnoteRef/>
      </w:r>
      <w:r w:rsidRPr="00BC6232">
        <w:rPr>
          <w:rFonts w:ascii="Times New Roman" w:hAnsi="Times New Roman" w:cs="Times New Roman"/>
          <w:lang w:val="fr-CA"/>
        </w:rPr>
        <w:t xml:space="preserve"> </w:t>
      </w:r>
      <w:r w:rsidRPr="00BC6232">
        <w:rPr>
          <w:rFonts w:ascii="Times New Roman" w:hAnsi="Times New Roman" w:cs="Times New Roman"/>
          <w:i/>
          <w:lang w:val="fr-CA"/>
        </w:rPr>
        <w:t>NIL/</w:t>
      </w:r>
      <w:proofErr w:type="gramStart"/>
      <w:r w:rsidRPr="00BC6232">
        <w:rPr>
          <w:rFonts w:ascii="Times New Roman" w:hAnsi="Times New Roman" w:cs="Times New Roman"/>
          <w:i/>
          <w:lang w:val="fr-CA"/>
        </w:rPr>
        <w:t>TU,O</w:t>
      </w:r>
      <w:proofErr w:type="gramEnd"/>
      <w:r w:rsidRPr="00BC6232">
        <w:rPr>
          <w:rFonts w:ascii="Times New Roman" w:hAnsi="Times New Roman" w:cs="Times New Roman"/>
          <w:i/>
          <w:lang w:val="fr-CA"/>
        </w:rPr>
        <w:t>, supra</w:t>
      </w:r>
      <w:r w:rsidRPr="00BC6232">
        <w:rPr>
          <w:rFonts w:ascii="Times New Roman" w:hAnsi="Times New Roman" w:cs="Times New Roman"/>
          <w:lang w:val="fr-CA"/>
        </w:rPr>
        <w:t xml:space="preserve"> note 1 at para 44.</w:t>
      </w:r>
    </w:p>
  </w:footnote>
  <w:footnote w:id="54">
    <w:p w14:paraId="6DEC9A44" w14:textId="6E7C9FB7"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TRC, </w:t>
      </w:r>
      <w:r w:rsidRPr="004B4FA6">
        <w:rPr>
          <w:rFonts w:ascii="Times New Roman" w:hAnsi="Times New Roman" w:cs="Times New Roman"/>
          <w:i/>
        </w:rPr>
        <w:t>supra</w:t>
      </w:r>
      <w:r w:rsidRPr="009B4557">
        <w:rPr>
          <w:rFonts w:ascii="Times New Roman" w:hAnsi="Times New Roman" w:cs="Times New Roman"/>
        </w:rPr>
        <w:t xml:space="preserve"> </w:t>
      </w:r>
      <w:r>
        <w:rPr>
          <w:rFonts w:ascii="Times New Roman" w:hAnsi="Times New Roman" w:cs="Times New Roman"/>
        </w:rPr>
        <w:t xml:space="preserve">note 12 </w:t>
      </w:r>
      <w:r w:rsidRPr="009B4557">
        <w:rPr>
          <w:rFonts w:ascii="Times New Roman" w:hAnsi="Times New Roman" w:cs="Times New Roman"/>
        </w:rPr>
        <w:t>at 138.</w:t>
      </w:r>
    </w:p>
  </w:footnote>
  <w:footnote w:id="55">
    <w:p w14:paraId="7604AFF9" w14:textId="5A1AABED"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Ibid</w:t>
      </w:r>
      <w:r w:rsidRPr="009B4557">
        <w:rPr>
          <w:rFonts w:ascii="Times New Roman" w:hAnsi="Times New Roman" w:cs="Times New Roman"/>
        </w:rPr>
        <w:t xml:space="preserve"> at 142.</w:t>
      </w:r>
      <w:r>
        <w:rPr>
          <w:rFonts w:ascii="Times New Roman" w:hAnsi="Times New Roman" w:cs="Times New Roman"/>
        </w:rPr>
        <w:t xml:space="preserve"> </w:t>
      </w:r>
    </w:p>
  </w:footnote>
  <w:footnote w:id="56">
    <w:p w14:paraId="6C8ADE88" w14:textId="631B4BC7"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First Nations Child and Family Caring Society of Canada et al. v Attorney General of Canada (for the Minister of Indian and Northern Affairs Canada</w:t>
      </w:r>
      <w:r w:rsidRPr="009B4557">
        <w:rPr>
          <w:rFonts w:ascii="Times New Roman" w:hAnsi="Times New Roman" w:cs="Times New Roman"/>
        </w:rPr>
        <w:t xml:space="preserve">), 2016 CHRT 2 </w:t>
      </w:r>
      <w:r>
        <w:rPr>
          <w:rFonts w:ascii="Times New Roman" w:hAnsi="Times New Roman" w:cs="Times New Roman"/>
        </w:rPr>
        <w:t>[</w:t>
      </w:r>
      <w:r w:rsidRPr="009B4557">
        <w:rPr>
          <w:rFonts w:ascii="Times New Roman" w:hAnsi="Times New Roman" w:cs="Times New Roman"/>
          <w:i/>
        </w:rPr>
        <w:t>Caring Society</w:t>
      </w:r>
      <w:r>
        <w:rPr>
          <w:rFonts w:ascii="Times New Roman" w:hAnsi="Times New Roman" w:cs="Times New Roman"/>
        </w:rPr>
        <w:t>]</w:t>
      </w:r>
      <w:r w:rsidRPr="009B4557">
        <w:rPr>
          <w:rFonts w:ascii="Times New Roman" w:hAnsi="Times New Roman" w:cs="Times New Roman"/>
        </w:rPr>
        <w:t>.</w:t>
      </w:r>
    </w:p>
  </w:footnote>
  <w:footnote w:id="57">
    <w:p w14:paraId="18488A09" w14:textId="5D1DF4A3"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 xml:space="preserve">Ibid </w:t>
      </w:r>
      <w:r w:rsidRPr="009B4557">
        <w:rPr>
          <w:rFonts w:ascii="Times New Roman" w:hAnsi="Times New Roman" w:cs="Times New Roman"/>
        </w:rPr>
        <w:t>at para 83.</w:t>
      </w:r>
    </w:p>
  </w:footnote>
  <w:footnote w:id="58">
    <w:p w14:paraId="7CC687EB" w14:textId="32DF9BAC"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Ibid</w:t>
      </w:r>
      <w:r w:rsidRPr="009B4557">
        <w:rPr>
          <w:rFonts w:ascii="Times New Roman" w:hAnsi="Times New Roman" w:cs="Times New Roman"/>
        </w:rPr>
        <w:t xml:space="preserve"> at para 85.</w:t>
      </w:r>
    </w:p>
  </w:footnote>
  <w:footnote w:id="59">
    <w:p w14:paraId="5CF3B7CD" w14:textId="211C4115"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Ibid</w:t>
      </w:r>
      <w:r w:rsidRPr="009B4557">
        <w:rPr>
          <w:rFonts w:ascii="Times New Roman" w:hAnsi="Times New Roman" w:cs="Times New Roman"/>
        </w:rPr>
        <w:t xml:space="preserve"> at para 426.</w:t>
      </w:r>
    </w:p>
  </w:footnote>
  <w:footnote w:id="60">
    <w:p w14:paraId="31EEF27C" w14:textId="1EEA6473"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Ibid</w:t>
      </w:r>
      <w:r w:rsidRPr="009B4557">
        <w:rPr>
          <w:rFonts w:ascii="Times New Roman" w:hAnsi="Times New Roman" w:cs="Times New Roman"/>
        </w:rPr>
        <w:t xml:space="preserve"> at para 465.</w:t>
      </w:r>
    </w:p>
  </w:footnote>
  <w:footnote w:id="61">
    <w:p w14:paraId="399D2DF3" w14:textId="58841924"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Ibid</w:t>
      </w:r>
      <w:r w:rsidRPr="009B4557">
        <w:rPr>
          <w:rFonts w:ascii="Times New Roman" w:hAnsi="Times New Roman" w:cs="Times New Roman"/>
        </w:rPr>
        <w:t xml:space="preserve"> at paras </w:t>
      </w:r>
      <w:r>
        <w:rPr>
          <w:rFonts w:ascii="Times New Roman" w:hAnsi="Times New Roman" w:cs="Times New Roman"/>
        </w:rPr>
        <w:t>431–455</w:t>
      </w:r>
      <w:r w:rsidRPr="009B4557">
        <w:rPr>
          <w:rFonts w:ascii="Times New Roman" w:hAnsi="Times New Roman" w:cs="Times New Roman"/>
        </w:rPr>
        <w:t>.</w:t>
      </w:r>
      <w:r>
        <w:rPr>
          <w:rFonts w:ascii="Times New Roman" w:hAnsi="Times New Roman" w:cs="Times New Roman"/>
        </w:rPr>
        <w:t xml:space="preserve"> </w:t>
      </w:r>
    </w:p>
  </w:footnote>
  <w:footnote w:id="62">
    <w:p w14:paraId="16E06A06" w14:textId="60929265"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9B4557">
        <w:rPr>
          <w:rFonts w:ascii="Times New Roman" w:hAnsi="Times New Roman" w:cs="Times New Roman"/>
          <w:i/>
        </w:rPr>
        <w:t>Andrews v Law Society of British Columbia</w:t>
      </w:r>
      <w:r w:rsidRPr="009B4557">
        <w:rPr>
          <w:rFonts w:ascii="Times New Roman" w:hAnsi="Times New Roman" w:cs="Times New Roman"/>
        </w:rPr>
        <w:t xml:space="preserve">, [1989] 1 SCR 143 at 166; </w:t>
      </w:r>
      <w:r w:rsidRPr="0027472F">
        <w:rPr>
          <w:rFonts w:ascii="Times New Roman" w:hAnsi="Times New Roman" w:cs="Times New Roman"/>
          <w:i/>
        </w:rPr>
        <w:t>R</w:t>
      </w:r>
      <w:r w:rsidRPr="009B4557">
        <w:rPr>
          <w:rFonts w:ascii="Times New Roman" w:hAnsi="Times New Roman" w:cs="Times New Roman"/>
          <w:i/>
        </w:rPr>
        <w:t xml:space="preserve"> v Beaulac</w:t>
      </w:r>
      <w:r w:rsidRPr="009B4557">
        <w:rPr>
          <w:rFonts w:ascii="Times New Roman" w:hAnsi="Times New Roman" w:cs="Times New Roman"/>
        </w:rPr>
        <w:t xml:space="preserve">, [1999] 1 SCR 768 at paras </w:t>
      </w:r>
      <w:r>
        <w:rPr>
          <w:rFonts w:ascii="Times New Roman" w:hAnsi="Times New Roman" w:cs="Times New Roman"/>
        </w:rPr>
        <w:t>22–24</w:t>
      </w:r>
      <w:r w:rsidRPr="009B4557">
        <w:rPr>
          <w:rFonts w:ascii="Times New Roman" w:hAnsi="Times New Roman" w:cs="Times New Roman"/>
        </w:rPr>
        <w:t xml:space="preserve">; </w:t>
      </w:r>
      <w:r w:rsidRPr="009B4557">
        <w:rPr>
          <w:rFonts w:ascii="Times New Roman" w:hAnsi="Times New Roman" w:cs="Times New Roman"/>
          <w:i/>
        </w:rPr>
        <w:t>R v Kapp</w:t>
      </w:r>
      <w:r w:rsidRPr="009B4557">
        <w:rPr>
          <w:rFonts w:ascii="Times New Roman" w:hAnsi="Times New Roman" w:cs="Times New Roman"/>
        </w:rPr>
        <w:t xml:space="preserve">, 2008 SCC 41 at paras </w:t>
      </w:r>
      <w:r>
        <w:rPr>
          <w:rFonts w:ascii="Times New Roman" w:hAnsi="Times New Roman" w:cs="Times New Roman"/>
        </w:rPr>
        <w:t>15–16</w:t>
      </w:r>
      <w:r w:rsidRPr="009B4557">
        <w:rPr>
          <w:rFonts w:ascii="Times New Roman" w:hAnsi="Times New Roman" w:cs="Times New Roman"/>
        </w:rPr>
        <w:t>.</w:t>
      </w:r>
    </w:p>
  </w:footnote>
  <w:footnote w:id="63">
    <w:p w14:paraId="57C554B8" w14:textId="1B472EF1"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9B4557">
        <w:rPr>
          <w:rFonts w:ascii="Times New Roman" w:hAnsi="Times New Roman" w:cs="Times New Roman"/>
          <w:i/>
          <w:noProof/>
        </w:rPr>
        <w:t>DesRochers</w:t>
      </w:r>
      <w:r w:rsidRPr="009B4557">
        <w:rPr>
          <w:rFonts w:ascii="Times New Roman" w:hAnsi="Times New Roman" w:cs="Times New Roman"/>
          <w:i/>
        </w:rPr>
        <w:t xml:space="preserve"> v Canada (Industry)</w:t>
      </w:r>
      <w:r w:rsidRPr="009B4557">
        <w:rPr>
          <w:rFonts w:ascii="Times New Roman" w:hAnsi="Times New Roman" w:cs="Times New Roman"/>
        </w:rPr>
        <w:t>, [2009] 1 SCR 194</w:t>
      </w:r>
      <w:r>
        <w:rPr>
          <w:rFonts w:ascii="Times New Roman" w:hAnsi="Times New Roman" w:cs="Times New Roman"/>
        </w:rPr>
        <w:t>,</w:t>
      </w:r>
      <w:r w:rsidRPr="009B4557">
        <w:rPr>
          <w:rFonts w:ascii="Times New Roman" w:hAnsi="Times New Roman" w:cs="Times New Roman"/>
        </w:rPr>
        <w:t xml:space="preserve"> and </w:t>
      </w:r>
      <w:r w:rsidRPr="009B4557">
        <w:rPr>
          <w:rFonts w:ascii="Times New Roman" w:hAnsi="Times New Roman" w:cs="Times New Roman"/>
          <w:i/>
        </w:rPr>
        <w:t xml:space="preserve">Association des parents de </w:t>
      </w:r>
      <w:proofErr w:type="spellStart"/>
      <w:r w:rsidRPr="009B4557">
        <w:rPr>
          <w:rFonts w:ascii="Times New Roman" w:hAnsi="Times New Roman" w:cs="Times New Roman"/>
          <w:i/>
        </w:rPr>
        <w:t>l’école</w:t>
      </w:r>
      <w:proofErr w:type="spellEnd"/>
      <w:r w:rsidRPr="009B4557">
        <w:rPr>
          <w:rFonts w:ascii="Times New Roman" w:hAnsi="Times New Roman" w:cs="Times New Roman"/>
          <w:i/>
        </w:rPr>
        <w:t xml:space="preserve"> Rose-des-vents v British Columbia (Education)</w:t>
      </w:r>
      <w:r w:rsidRPr="009B4557">
        <w:rPr>
          <w:rFonts w:ascii="Times New Roman" w:hAnsi="Times New Roman" w:cs="Times New Roman"/>
        </w:rPr>
        <w:t>, 2015 SCC 21.</w:t>
      </w:r>
    </w:p>
  </w:footnote>
  <w:footnote w:id="64">
    <w:p w14:paraId="38986E87" w14:textId="3958C24B"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2018 SCC 30 at para 54.</w:t>
      </w:r>
    </w:p>
  </w:footnote>
  <w:footnote w:id="65">
    <w:p w14:paraId="0A961DAD" w14:textId="7E29EC6C" w:rsidR="0083324D" w:rsidRPr="00BC6232" w:rsidRDefault="0083324D" w:rsidP="005021E9">
      <w:pPr>
        <w:pStyle w:val="FootnoteText"/>
        <w:jc w:val="both"/>
        <w:rPr>
          <w:rFonts w:ascii="Times New Roman" w:hAnsi="Times New Roman" w:cs="Times New Roman"/>
          <w:lang w:val="fr-CA"/>
        </w:rPr>
      </w:pPr>
      <w:r w:rsidRPr="009B4557">
        <w:rPr>
          <w:rStyle w:val="FootnoteReference"/>
          <w:rFonts w:ascii="Times New Roman" w:hAnsi="Times New Roman" w:cs="Times New Roman"/>
        </w:rPr>
        <w:footnoteRef/>
      </w:r>
      <w:r w:rsidRPr="00BC6232">
        <w:rPr>
          <w:rFonts w:ascii="Times New Roman" w:hAnsi="Times New Roman" w:cs="Times New Roman"/>
          <w:lang w:val="fr-CA"/>
        </w:rPr>
        <w:t xml:space="preserve"> </w:t>
      </w:r>
      <w:r w:rsidRPr="00BC6232">
        <w:rPr>
          <w:rFonts w:ascii="Times New Roman" w:hAnsi="Times New Roman" w:cs="Times New Roman"/>
          <w:i/>
          <w:lang w:val="fr-CA"/>
        </w:rPr>
        <w:t>NIL/</w:t>
      </w:r>
      <w:proofErr w:type="gramStart"/>
      <w:r w:rsidRPr="00BC6232">
        <w:rPr>
          <w:rFonts w:ascii="Times New Roman" w:hAnsi="Times New Roman" w:cs="Times New Roman"/>
          <w:i/>
          <w:lang w:val="fr-CA"/>
        </w:rPr>
        <w:t>TU,O</w:t>
      </w:r>
      <w:proofErr w:type="gramEnd"/>
      <w:r w:rsidRPr="00BC6232">
        <w:rPr>
          <w:rFonts w:ascii="Times New Roman" w:hAnsi="Times New Roman" w:cs="Times New Roman"/>
          <w:iCs/>
          <w:lang w:val="fr-CA"/>
        </w:rPr>
        <w:t>,</w:t>
      </w:r>
      <w:r w:rsidRPr="00BC6232">
        <w:rPr>
          <w:rFonts w:ascii="Times New Roman" w:hAnsi="Times New Roman" w:cs="Times New Roman"/>
          <w:i/>
          <w:lang w:val="fr-CA"/>
        </w:rPr>
        <w:t xml:space="preserve"> supra</w:t>
      </w:r>
      <w:r w:rsidRPr="00BC6232">
        <w:rPr>
          <w:rFonts w:ascii="Times New Roman" w:hAnsi="Times New Roman" w:cs="Times New Roman"/>
          <w:lang w:val="fr-CA"/>
        </w:rPr>
        <w:t xml:space="preserve"> note 1 at paras 41–42.</w:t>
      </w:r>
    </w:p>
  </w:footnote>
  <w:footnote w:id="66">
    <w:p w14:paraId="577F4F4B" w14:textId="0A4FA13D"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Metallic, </w:t>
      </w:r>
      <w:r w:rsidRPr="003E42A9">
        <w:rPr>
          <w:rFonts w:ascii="Times New Roman" w:hAnsi="Times New Roman" w:cs="Times New Roman"/>
          <w:i/>
        </w:rPr>
        <w:t>supra</w:t>
      </w:r>
      <w:r>
        <w:rPr>
          <w:rFonts w:ascii="Times New Roman" w:hAnsi="Times New Roman" w:cs="Times New Roman"/>
        </w:rPr>
        <w:t xml:space="preserve"> note </w:t>
      </w:r>
      <w:r w:rsidR="007A1046">
        <w:rPr>
          <w:rFonts w:ascii="Times New Roman" w:hAnsi="Times New Roman" w:cs="Times New Roman"/>
        </w:rPr>
        <w:t>40</w:t>
      </w:r>
      <w:r w:rsidRPr="009B4557">
        <w:rPr>
          <w:rFonts w:ascii="Times New Roman" w:hAnsi="Times New Roman" w:cs="Times New Roman"/>
        </w:rPr>
        <w:t>.</w:t>
      </w:r>
    </w:p>
  </w:footnote>
  <w:footnote w:id="67">
    <w:p w14:paraId="1B798DBD" w14:textId="0C19362E"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684B3E">
        <w:rPr>
          <w:rFonts w:ascii="Times New Roman" w:hAnsi="Times New Roman" w:cs="Times New Roman"/>
        </w:rPr>
        <w:t xml:space="preserve">Canada, House of Commons, </w:t>
      </w:r>
      <w:r w:rsidRPr="00684B3E">
        <w:rPr>
          <w:rFonts w:ascii="Times New Roman" w:hAnsi="Times New Roman" w:cs="Times New Roman"/>
          <w:i/>
        </w:rPr>
        <w:t>Report of the Special Committee on Indian Self-Government in Canada</w:t>
      </w:r>
      <w:r w:rsidRPr="00684B3E">
        <w:rPr>
          <w:rFonts w:ascii="Times New Roman" w:hAnsi="Times New Roman" w:cs="Times New Roman"/>
          <w:iCs/>
        </w:rPr>
        <w:t>, Keith Penner, Chairman (Ottawa: Queen’s Printer, 1983) at 29.</w:t>
      </w:r>
    </w:p>
  </w:footnote>
  <w:footnote w:id="68">
    <w:p w14:paraId="02A51F4D" w14:textId="2275FEFA"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On June 21, 2019, the Parliament gave royal assent to </w:t>
      </w:r>
      <w:r w:rsidRPr="009B4557">
        <w:rPr>
          <w:rFonts w:ascii="Times New Roman" w:hAnsi="Times New Roman" w:cs="Times New Roman"/>
          <w:i/>
        </w:rPr>
        <w:t>An Act Respecting First Nations, Inuit and Métis Children, Youth and Families</w:t>
      </w:r>
      <w:r w:rsidRPr="009B4557">
        <w:rPr>
          <w:rFonts w:ascii="Times New Roman" w:hAnsi="Times New Roman" w:cs="Times New Roman"/>
        </w:rPr>
        <w:t xml:space="preserve">, 2019 SC c 24.  The </w:t>
      </w:r>
      <w:r w:rsidRPr="00897E8F">
        <w:rPr>
          <w:rFonts w:ascii="Times New Roman" w:hAnsi="Times New Roman" w:cs="Times New Roman"/>
          <w:iCs/>
        </w:rPr>
        <w:t>Act</w:t>
      </w:r>
      <w:r w:rsidRPr="009B4557">
        <w:rPr>
          <w:rFonts w:ascii="Times New Roman" w:hAnsi="Times New Roman" w:cs="Times New Roman"/>
        </w:rPr>
        <w:t xml:space="preserve"> affirms the inherent right of self-government of Indigenous peoples, which includes jurisdiction in relation to child and family services</w:t>
      </w:r>
      <w:r>
        <w:rPr>
          <w:rFonts w:ascii="Times New Roman" w:hAnsi="Times New Roman" w:cs="Times New Roman"/>
        </w:rPr>
        <w:t>,</w:t>
      </w:r>
      <w:r w:rsidRPr="009B4557">
        <w:rPr>
          <w:rFonts w:ascii="Times New Roman" w:hAnsi="Times New Roman" w:cs="Times New Roman"/>
        </w:rPr>
        <w:t xml:space="preserve"> and sets out a process whereby Indigenous governing bodies can exercise self-government over child welfare.  Through the </w:t>
      </w:r>
      <w:r w:rsidRPr="00FF19D8">
        <w:rPr>
          <w:rFonts w:ascii="Times New Roman" w:hAnsi="Times New Roman" w:cs="Times New Roman"/>
          <w:iCs/>
        </w:rPr>
        <w:t>Act</w:t>
      </w:r>
      <w:r w:rsidRPr="009B4557">
        <w:rPr>
          <w:rFonts w:ascii="Times New Roman" w:hAnsi="Times New Roman" w:cs="Times New Roman"/>
        </w:rPr>
        <w:t xml:space="preserve">, the federal government also legislated minimum national standards in respect of Indigenous child welfare that will overlay provincial laws, where an Indigenous governing body opts not </w:t>
      </w:r>
      <w:r>
        <w:rPr>
          <w:rFonts w:ascii="Times New Roman" w:hAnsi="Times New Roman" w:cs="Times New Roman"/>
        </w:rPr>
        <w:t>to exercise</w:t>
      </w:r>
      <w:r w:rsidRPr="009B4557">
        <w:rPr>
          <w:rFonts w:ascii="Times New Roman" w:hAnsi="Times New Roman" w:cs="Times New Roman"/>
        </w:rPr>
        <w:t xml:space="preserve"> self-government over child welfare.</w:t>
      </w:r>
      <w:r>
        <w:rPr>
          <w:rFonts w:ascii="Times New Roman" w:hAnsi="Times New Roman" w:cs="Times New Roman"/>
        </w:rPr>
        <w:t xml:space="preserve"> </w:t>
      </w:r>
    </w:p>
  </w:footnote>
  <w:footnote w:id="69">
    <w:p w14:paraId="7F53C140" w14:textId="4FC05295"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Pr>
          <w:rFonts w:ascii="Times New Roman" w:hAnsi="Times New Roman" w:cs="Times New Roman"/>
        </w:rPr>
        <w:t xml:space="preserve">Maggie Wente, </w:t>
      </w:r>
      <w:r w:rsidRPr="009B4557">
        <w:rPr>
          <w:rFonts w:ascii="Times New Roman" w:hAnsi="Times New Roman" w:cs="Times New Roman"/>
        </w:rPr>
        <w:t xml:space="preserve">“Case Comment on </w:t>
      </w:r>
      <w:r w:rsidRPr="009B4557">
        <w:rPr>
          <w:rFonts w:ascii="Times New Roman" w:hAnsi="Times New Roman" w:cs="Times New Roman"/>
          <w:i/>
        </w:rPr>
        <w:t>NIL/TU</w:t>
      </w:r>
      <w:r w:rsidRPr="009B4557">
        <w:rPr>
          <w:rFonts w:ascii="Times New Roman" w:hAnsi="Times New Roman" w:cs="Times New Roman"/>
          <w:i/>
          <w:noProof/>
        </w:rPr>
        <w:t>,O</w:t>
      </w:r>
      <w:r w:rsidRPr="009B4557">
        <w:rPr>
          <w:rFonts w:ascii="Times New Roman" w:hAnsi="Times New Roman" w:cs="Times New Roman"/>
          <w:i/>
        </w:rPr>
        <w:t xml:space="preserve"> Child and Family Services Society v BC Government and Service Employees’ Union </w:t>
      </w:r>
      <w:r w:rsidRPr="00FF19D8">
        <w:rPr>
          <w:rFonts w:ascii="Times New Roman" w:hAnsi="Times New Roman" w:cs="Times New Roman"/>
          <w:iCs/>
        </w:rPr>
        <w:t>and</w:t>
      </w:r>
      <w:r w:rsidRPr="009B4557">
        <w:rPr>
          <w:rFonts w:ascii="Times New Roman" w:hAnsi="Times New Roman" w:cs="Times New Roman"/>
          <w:i/>
        </w:rPr>
        <w:t xml:space="preserve"> Communication Energy and </w:t>
      </w:r>
      <w:proofErr w:type="spellStart"/>
      <w:r w:rsidRPr="009B4557">
        <w:rPr>
          <w:rFonts w:ascii="Times New Roman" w:hAnsi="Times New Roman" w:cs="Times New Roman"/>
          <w:i/>
        </w:rPr>
        <w:t>Paperworkers</w:t>
      </w:r>
      <w:proofErr w:type="spellEnd"/>
      <w:r w:rsidRPr="009B4557">
        <w:rPr>
          <w:rFonts w:ascii="Times New Roman" w:hAnsi="Times New Roman" w:cs="Times New Roman"/>
          <w:i/>
        </w:rPr>
        <w:t xml:space="preserve"> of Canada v. Native Child and Family Services of Toronto</w:t>
      </w:r>
      <w:r w:rsidRPr="009B4557">
        <w:rPr>
          <w:rFonts w:ascii="Times New Roman" w:hAnsi="Times New Roman" w:cs="Times New Roman"/>
        </w:rPr>
        <w:t xml:space="preserve">” (2011) 10:1 Indigenous LJ 133 at </w:t>
      </w:r>
      <w:r>
        <w:rPr>
          <w:rStyle w:val="A2"/>
          <w:rFonts w:ascii="Times New Roman" w:hAnsi="Times New Roman" w:cs="Times New Roman"/>
          <w:color w:val="auto"/>
          <w:sz w:val="20"/>
          <w:szCs w:val="20"/>
        </w:rPr>
        <w:t>137–138</w:t>
      </w:r>
      <w:r w:rsidRPr="009B4557">
        <w:rPr>
          <w:rStyle w:val="A2"/>
          <w:rFonts w:ascii="Times New Roman" w:hAnsi="Times New Roman" w:cs="Times New Roman"/>
          <w:color w:val="auto"/>
          <w:sz w:val="20"/>
          <w:szCs w:val="20"/>
        </w:rPr>
        <w:t xml:space="preserve">.  See also Craig Mazerolle, </w:t>
      </w:r>
      <w:r w:rsidRPr="00684B3E">
        <w:rPr>
          <w:rFonts w:ascii="Times New Roman" w:hAnsi="Times New Roman" w:cs="Times New Roman"/>
        </w:rPr>
        <w:t xml:space="preserve">“Crafting an Aboriginal Labour Law” (2016) </w:t>
      </w:r>
      <w:r w:rsidRPr="009B4557">
        <w:rPr>
          <w:rFonts w:ascii="Times New Roman" w:hAnsi="Times New Roman" w:cs="Times New Roman"/>
          <w:color w:val="000000"/>
        </w:rPr>
        <w:t xml:space="preserve">74 </w:t>
      </w:r>
      <w:r w:rsidRPr="007F76FF">
        <w:rPr>
          <w:rFonts w:ascii="Times New Roman" w:hAnsi="Times New Roman" w:cs="Times New Roman"/>
          <w:color w:val="000000"/>
        </w:rPr>
        <w:t>U</w:t>
      </w:r>
      <w:r w:rsidRPr="003C4680">
        <w:rPr>
          <w:rFonts w:ascii="Times New Roman" w:hAnsi="Times New Roman" w:cs="Times New Roman"/>
          <w:color w:val="000000"/>
        </w:rPr>
        <w:t>T Fac L Rev</w:t>
      </w:r>
      <w:r w:rsidRPr="009B4557">
        <w:rPr>
          <w:rFonts w:ascii="Times New Roman" w:hAnsi="Times New Roman" w:cs="Times New Roman"/>
          <w:color w:val="000000"/>
        </w:rPr>
        <w:t xml:space="preserve"> 9 at </w:t>
      </w:r>
      <w:r>
        <w:rPr>
          <w:rFonts w:ascii="Times New Roman" w:hAnsi="Times New Roman" w:cs="Times New Roman"/>
          <w:color w:val="000000"/>
        </w:rPr>
        <w:t>20–21</w:t>
      </w:r>
      <w:r w:rsidRPr="009B4557">
        <w:rPr>
          <w:rFonts w:ascii="Times New Roman" w:hAnsi="Times New Roman" w:cs="Times New Roman"/>
          <w:color w:val="000000"/>
        </w:rPr>
        <w:t>.</w:t>
      </w:r>
    </w:p>
  </w:footnote>
  <w:footnote w:id="70">
    <w:p w14:paraId="226DFAEC" w14:textId="6407A84A"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Pr>
          <w:rFonts w:ascii="Times New Roman" w:hAnsi="Times New Roman" w:cs="Times New Roman"/>
        </w:rPr>
        <w:t xml:space="preserve">Wente, </w:t>
      </w:r>
      <w:r>
        <w:rPr>
          <w:rFonts w:ascii="Times New Roman" w:hAnsi="Times New Roman" w:cs="Times New Roman"/>
          <w:i/>
        </w:rPr>
        <w:t>i</w:t>
      </w:r>
      <w:r w:rsidRPr="009B4557">
        <w:rPr>
          <w:rFonts w:ascii="Times New Roman" w:hAnsi="Times New Roman" w:cs="Times New Roman"/>
          <w:i/>
        </w:rPr>
        <w:t>bid</w:t>
      </w:r>
      <w:r w:rsidRPr="009B4557">
        <w:rPr>
          <w:rFonts w:ascii="Times New Roman" w:hAnsi="Times New Roman" w:cs="Times New Roman"/>
        </w:rPr>
        <w:t xml:space="preserve"> at 140.</w:t>
      </w:r>
      <w:r>
        <w:rPr>
          <w:rFonts w:ascii="Times New Roman" w:hAnsi="Times New Roman" w:cs="Times New Roman"/>
        </w:rPr>
        <w:t xml:space="preserve"> </w:t>
      </w:r>
    </w:p>
  </w:footnote>
  <w:footnote w:id="71">
    <w:p w14:paraId="45D7C7E2" w14:textId="188D1410"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Ibid</w:t>
      </w:r>
      <w:r w:rsidRPr="009B4557">
        <w:rPr>
          <w:rFonts w:ascii="Times New Roman" w:hAnsi="Times New Roman" w:cs="Times New Roman"/>
        </w:rPr>
        <w:t xml:space="preserve"> </w:t>
      </w:r>
      <w:r w:rsidRPr="009B4557">
        <w:rPr>
          <w:rFonts w:ascii="Times New Roman" w:hAnsi="Times New Roman" w:cs="Times New Roman"/>
          <w:lang w:val="en-US"/>
        </w:rPr>
        <w:t xml:space="preserve">at </w:t>
      </w:r>
      <w:r>
        <w:rPr>
          <w:rFonts w:ascii="Times New Roman" w:hAnsi="Times New Roman" w:cs="Times New Roman"/>
          <w:lang w:val="en-US"/>
        </w:rPr>
        <w:t>142–143</w:t>
      </w:r>
      <w:r w:rsidRPr="009B4557">
        <w:rPr>
          <w:rFonts w:ascii="Times New Roman" w:hAnsi="Times New Roman" w:cs="Times New Roman"/>
          <w:lang w:val="en-US"/>
        </w:rPr>
        <w:t>.</w:t>
      </w:r>
    </w:p>
  </w:footnote>
  <w:footnote w:id="72">
    <w:p w14:paraId="3373DFC9" w14:textId="1BEAB3F3"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lang w:val="en-US"/>
        </w:rPr>
        <w:t>Ibid</w:t>
      </w:r>
      <w:r w:rsidRPr="009B4557">
        <w:rPr>
          <w:rFonts w:ascii="Times New Roman" w:hAnsi="Times New Roman" w:cs="Times New Roman"/>
          <w:lang w:val="en-US"/>
        </w:rPr>
        <w:t xml:space="preserve"> at 143.</w:t>
      </w:r>
    </w:p>
  </w:footnote>
  <w:footnote w:id="73">
    <w:p w14:paraId="083AC8E8" w14:textId="5DEB6957"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9B4557">
        <w:rPr>
          <w:rFonts w:ascii="Times New Roman" w:hAnsi="Times New Roman" w:cs="Times New Roman"/>
          <w:i/>
        </w:rPr>
        <w:t>Edwards v Attorney General of Canada</w:t>
      </w:r>
      <w:r w:rsidRPr="009B4557">
        <w:rPr>
          <w:rFonts w:ascii="Times New Roman" w:hAnsi="Times New Roman" w:cs="Times New Roman"/>
        </w:rPr>
        <w:t xml:space="preserve">, [1930] AC 124, and </w:t>
      </w:r>
      <w:r w:rsidRPr="009B4557">
        <w:rPr>
          <w:rFonts w:ascii="Times New Roman" w:hAnsi="Times New Roman" w:cs="Times New Roman"/>
          <w:i/>
        </w:rPr>
        <w:t>Reference re Same Sex Marriage</w:t>
      </w:r>
      <w:r w:rsidRPr="009B4557">
        <w:rPr>
          <w:rFonts w:ascii="Times New Roman" w:hAnsi="Times New Roman" w:cs="Times New Roman"/>
        </w:rPr>
        <w:t>, [2004] 3 SCR 698.</w:t>
      </w:r>
    </w:p>
  </w:footnote>
  <w:footnote w:id="74">
    <w:p w14:paraId="3E56B8E5" w14:textId="2FB67BF2"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Ryder, </w:t>
      </w:r>
      <w:r w:rsidRPr="003C4680">
        <w:rPr>
          <w:rFonts w:ascii="Times New Roman" w:hAnsi="Times New Roman" w:cs="Times New Roman"/>
          <w:i/>
        </w:rPr>
        <w:t>supra</w:t>
      </w:r>
      <w:r>
        <w:rPr>
          <w:rFonts w:ascii="Times New Roman" w:hAnsi="Times New Roman" w:cs="Times New Roman"/>
        </w:rPr>
        <w:t xml:space="preserve"> note 5</w:t>
      </w:r>
      <w:r w:rsidRPr="009B4557">
        <w:rPr>
          <w:rFonts w:ascii="Times New Roman" w:hAnsi="Times New Roman" w:cs="Times New Roman"/>
          <w:i/>
        </w:rPr>
        <w:t xml:space="preserve"> </w:t>
      </w:r>
      <w:r w:rsidRPr="009B4557">
        <w:rPr>
          <w:rFonts w:ascii="Times New Roman" w:hAnsi="Times New Roman" w:cs="Times New Roman"/>
        </w:rPr>
        <w:t>at 381.</w:t>
      </w:r>
      <w:r>
        <w:rPr>
          <w:rFonts w:ascii="Times New Roman" w:hAnsi="Times New Roman" w:cs="Times New Roman"/>
        </w:rPr>
        <w:t xml:space="preserve"> </w:t>
      </w:r>
    </w:p>
  </w:footnote>
  <w:footnote w:id="75">
    <w:p w14:paraId="4C3B3C39" w14:textId="5438674C"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9B4557">
        <w:rPr>
          <w:rFonts w:ascii="Times New Roman" w:hAnsi="Times New Roman" w:cs="Times New Roman"/>
          <w:i/>
        </w:rPr>
        <w:t>R v Wigglesworth</w:t>
      </w:r>
      <w:r w:rsidRPr="009B4557">
        <w:rPr>
          <w:rFonts w:ascii="Times New Roman" w:hAnsi="Times New Roman" w:cs="Times New Roman"/>
        </w:rPr>
        <w:t xml:space="preserve">, [1987] 2 SCR 541 and </w:t>
      </w:r>
      <w:r w:rsidRPr="009B4557">
        <w:rPr>
          <w:rFonts w:ascii="Times New Roman" w:hAnsi="Times New Roman" w:cs="Times New Roman"/>
          <w:i/>
        </w:rPr>
        <w:t>R v Edwards Books and Art Ltd</w:t>
      </w:r>
      <w:r w:rsidRPr="009B4557">
        <w:rPr>
          <w:rFonts w:ascii="Times New Roman" w:hAnsi="Times New Roman" w:cs="Times New Roman"/>
        </w:rPr>
        <w:t xml:space="preserve">, [1986] 2 SCR 713.  While one part of the Constitution cannot be interpreted to invalidate the existence of another constitutional power or right (see </w:t>
      </w:r>
      <w:r w:rsidRPr="009B4557">
        <w:rPr>
          <w:rFonts w:ascii="Times New Roman" w:hAnsi="Times New Roman" w:cs="Times New Roman"/>
          <w:i/>
        </w:rPr>
        <w:t>Reference Re Bill 30, an Act to amend the Education Act (Ontario)</w:t>
      </w:r>
      <w:r w:rsidRPr="009B4557">
        <w:rPr>
          <w:rFonts w:ascii="Times New Roman" w:hAnsi="Times New Roman" w:cs="Times New Roman"/>
        </w:rPr>
        <w:t>, [1987] 1 SCR 1148 at para 62)</w:t>
      </w:r>
      <w:r>
        <w:rPr>
          <w:rFonts w:ascii="Times New Roman" w:hAnsi="Times New Roman" w:cs="Times New Roman"/>
        </w:rPr>
        <w:t>,</w:t>
      </w:r>
      <w:r w:rsidRPr="009B4557">
        <w:rPr>
          <w:rFonts w:ascii="Times New Roman" w:hAnsi="Times New Roman" w:cs="Times New Roman"/>
        </w:rPr>
        <w:t xml:space="preserve"> this is not what we are proposing.  An alternative approach to s 91(24) that respects Indigenous peoples’ right to self-determination does not mean the federal or provincial governments will have </w:t>
      </w:r>
      <w:r w:rsidRPr="009B4557">
        <w:rPr>
          <w:rFonts w:ascii="Times New Roman" w:hAnsi="Times New Roman" w:cs="Times New Roman"/>
          <w:i/>
        </w:rPr>
        <w:t>no</w:t>
      </w:r>
      <w:r w:rsidRPr="009B4557">
        <w:rPr>
          <w:rFonts w:ascii="Times New Roman" w:hAnsi="Times New Roman" w:cs="Times New Roman"/>
        </w:rPr>
        <w:t xml:space="preserve"> powers to legislate in respect of Indigenous peoples, but rather that such powers will be tempered in so far as any unilateral exercise of such power (e.g., imposed without Indigenous groups’ consent) will have to be reconciled with Indigenous jurisdiction.</w:t>
      </w:r>
    </w:p>
  </w:footnote>
  <w:footnote w:id="76">
    <w:p w14:paraId="04D6CD36" w14:textId="4B854F47"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BB38CE">
        <w:rPr>
          <w:rFonts w:ascii="Times New Roman" w:hAnsi="Times New Roman" w:cs="Times New Roman"/>
          <w:i/>
        </w:rPr>
        <w:t>Reference re Secession of Quebec</w:t>
      </w:r>
      <w:r>
        <w:rPr>
          <w:rFonts w:ascii="Times New Roman" w:hAnsi="Times New Roman" w:cs="Times New Roman"/>
          <w:iCs/>
        </w:rPr>
        <w:t>,</w:t>
      </w:r>
      <w:r w:rsidRPr="00BB38CE">
        <w:rPr>
          <w:rFonts w:ascii="Times New Roman" w:hAnsi="Times New Roman" w:cs="Times New Roman"/>
        </w:rPr>
        <w:t xml:space="preserve"> </w:t>
      </w:r>
      <w:r w:rsidRPr="009B4557">
        <w:rPr>
          <w:rFonts w:ascii="Times New Roman" w:hAnsi="Times New Roman" w:cs="Times New Roman"/>
        </w:rPr>
        <w:t xml:space="preserve">[1998] 2 SCR 217 </w:t>
      </w:r>
      <w:r>
        <w:rPr>
          <w:rFonts w:ascii="Times New Roman" w:hAnsi="Times New Roman" w:cs="Times New Roman"/>
        </w:rPr>
        <w:t>[</w:t>
      </w:r>
      <w:r w:rsidRPr="009B4557">
        <w:rPr>
          <w:rFonts w:ascii="Times New Roman" w:hAnsi="Times New Roman" w:cs="Times New Roman"/>
        </w:rPr>
        <w:t>“</w:t>
      </w:r>
      <w:r w:rsidRPr="009B4557">
        <w:rPr>
          <w:rFonts w:ascii="Times New Roman" w:hAnsi="Times New Roman" w:cs="Times New Roman"/>
          <w:i/>
        </w:rPr>
        <w:t>Ref re Secession”</w:t>
      </w:r>
      <w:r>
        <w:rPr>
          <w:rFonts w:ascii="Times New Roman" w:hAnsi="Times New Roman" w:cs="Times New Roman"/>
        </w:rPr>
        <w:t>]</w:t>
      </w:r>
      <w:r w:rsidRPr="009B4557">
        <w:rPr>
          <w:rFonts w:ascii="Times New Roman" w:hAnsi="Times New Roman" w:cs="Times New Roman"/>
        </w:rPr>
        <w:t xml:space="preserve"> at paras 32 and 54.</w:t>
      </w:r>
    </w:p>
  </w:footnote>
  <w:footnote w:id="77">
    <w:p w14:paraId="350F90A3" w14:textId="78CF80EE" w:rsidR="0083324D" w:rsidRPr="009B4557" w:rsidRDefault="0083324D" w:rsidP="005021E9">
      <w:pPr>
        <w:pStyle w:val="FootnoteText"/>
        <w:jc w:val="both"/>
        <w:rPr>
          <w:rFonts w:ascii="Times New Roman" w:hAnsi="Times New Roman" w:cs="Times New Roman"/>
          <w:i/>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Ibid</w:t>
      </w:r>
      <w:r w:rsidRPr="009B4557">
        <w:rPr>
          <w:rFonts w:ascii="Times New Roman" w:hAnsi="Times New Roman" w:cs="Times New Roman"/>
        </w:rPr>
        <w:t xml:space="preserve"> at para 58.</w:t>
      </w:r>
    </w:p>
  </w:footnote>
  <w:footnote w:id="78">
    <w:p w14:paraId="4751DD69" w14:textId="51F54A5D"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rPr>
        <w:t xml:space="preserve">Ibid </w:t>
      </w:r>
      <w:r w:rsidRPr="009B4557">
        <w:rPr>
          <w:rFonts w:ascii="Times New Roman" w:hAnsi="Times New Roman" w:cs="Times New Roman"/>
        </w:rPr>
        <w:t>at para 43.</w:t>
      </w:r>
    </w:p>
  </w:footnote>
  <w:footnote w:id="79">
    <w:p w14:paraId="6EE80E8E" w14:textId="3D1ECA0D"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Ryder, </w:t>
      </w:r>
      <w:r w:rsidRPr="0033354B">
        <w:rPr>
          <w:rFonts w:ascii="Times New Roman" w:hAnsi="Times New Roman" w:cs="Times New Roman"/>
          <w:i/>
        </w:rPr>
        <w:t>supra</w:t>
      </w:r>
      <w:r w:rsidRPr="009B4557">
        <w:rPr>
          <w:rFonts w:ascii="Times New Roman" w:hAnsi="Times New Roman" w:cs="Times New Roman"/>
          <w:i/>
        </w:rPr>
        <w:t xml:space="preserve"> </w:t>
      </w:r>
      <w:r>
        <w:rPr>
          <w:rFonts w:ascii="Times New Roman" w:hAnsi="Times New Roman" w:cs="Times New Roman"/>
        </w:rPr>
        <w:t xml:space="preserve">note 5 </w:t>
      </w:r>
      <w:r w:rsidRPr="009B4557">
        <w:rPr>
          <w:rFonts w:ascii="Times New Roman" w:hAnsi="Times New Roman" w:cs="Times New Roman"/>
        </w:rPr>
        <w:t xml:space="preserve">at </w:t>
      </w:r>
      <w:r>
        <w:rPr>
          <w:rFonts w:ascii="Times New Roman" w:hAnsi="Times New Roman" w:cs="Times New Roman"/>
        </w:rPr>
        <w:t>319–320</w:t>
      </w:r>
      <w:r w:rsidRPr="009B4557">
        <w:rPr>
          <w:rFonts w:ascii="Times New Roman" w:hAnsi="Times New Roman" w:cs="Times New Roman"/>
        </w:rPr>
        <w:t>.</w:t>
      </w:r>
      <w:r>
        <w:rPr>
          <w:rFonts w:ascii="Times New Roman" w:hAnsi="Times New Roman" w:cs="Times New Roman"/>
        </w:rPr>
        <w:t xml:space="preserve"> </w:t>
      </w:r>
    </w:p>
  </w:footnote>
  <w:footnote w:id="80">
    <w:p w14:paraId="405D5140" w14:textId="2BE945E0"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proofErr w:type="gramStart"/>
      <w:r w:rsidRPr="009B4557">
        <w:rPr>
          <w:rFonts w:ascii="Times New Roman" w:hAnsi="Times New Roman" w:cs="Times New Roman"/>
          <w:i/>
        </w:rPr>
        <w:t>Ref re Secession,</w:t>
      </w:r>
      <w:proofErr w:type="gramEnd"/>
      <w:r w:rsidRPr="009B4557">
        <w:rPr>
          <w:rFonts w:ascii="Times New Roman" w:hAnsi="Times New Roman" w:cs="Times New Roman"/>
          <w:i/>
        </w:rPr>
        <w:t xml:space="preserve"> </w:t>
      </w:r>
      <w:r w:rsidRPr="0033354B">
        <w:rPr>
          <w:rFonts w:ascii="Times New Roman" w:hAnsi="Times New Roman" w:cs="Times New Roman"/>
          <w:i/>
        </w:rPr>
        <w:t>supra</w:t>
      </w:r>
      <w:r w:rsidRPr="009B4557">
        <w:rPr>
          <w:rFonts w:ascii="Times New Roman" w:hAnsi="Times New Roman" w:cs="Times New Roman"/>
        </w:rPr>
        <w:t xml:space="preserve"> </w:t>
      </w:r>
      <w:r>
        <w:rPr>
          <w:rFonts w:ascii="Times New Roman" w:hAnsi="Times New Roman" w:cs="Times New Roman"/>
        </w:rPr>
        <w:t>note 7</w:t>
      </w:r>
      <w:r w:rsidR="00BC0E40">
        <w:rPr>
          <w:rFonts w:ascii="Times New Roman" w:hAnsi="Times New Roman" w:cs="Times New Roman"/>
        </w:rPr>
        <w:t>4</w:t>
      </w:r>
      <w:r>
        <w:rPr>
          <w:rFonts w:ascii="Times New Roman" w:hAnsi="Times New Roman" w:cs="Times New Roman"/>
        </w:rPr>
        <w:t xml:space="preserve"> </w:t>
      </w:r>
      <w:r w:rsidRPr="009B4557">
        <w:rPr>
          <w:rFonts w:ascii="Times New Roman" w:hAnsi="Times New Roman" w:cs="Times New Roman"/>
        </w:rPr>
        <w:t>at para 43.</w:t>
      </w:r>
    </w:p>
  </w:footnote>
  <w:footnote w:id="81">
    <w:p w14:paraId="0274B4DC" w14:textId="23F087D8"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BB38CE">
        <w:rPr>
          <w:rFonts w:ascii="Times New Roman" w:hAnsi="Times New Roman" w:cs="Times New Roman"/>
          <w:i/>
        </w:rPr>
        <w:t xml:space="preserve">114957 Canada </w:t>
      </w:r>
      <w:proofErr w:type="spellStart"/>
      <w:r w:rsidRPr="00BB38CE">
        <w:rPr>
          <w:rFonts w:ascii="Times New Roman" w:hAnsi="Times New Roman" w:cs="Times New Roman"/>
          <w:i/>
        </w:rPr>
        <w:t>Ltée</w:t>
      </w:r>
      <w:proofErr w:type="spellEnd"/>
      <w:r w:rsidRPr="00BB38CE">
        <w:rPr>
          <w:rFonts w:ascii="Times New Roman" w:hAnsi="Times New Roman" w:cs="Times New Roman"/>
          <w:i/>
        </w:rPr>
        <w:t xml:space="preserve"> (</w:t>
      </w:r>
      <w:proofErr w:type="spellStart"/>
      <w:r w:rsidRPr="00BB38CE">
        <w:rPr>
          <w:rFonts w:ascii="Times New Roman" w:hAnsi="Times New Roman" w:cs="Times New Roman"/>
          <w:i/>
        </w:rPr>
        <w:t>Spraytech</w:t>
      </w:r>
      <w:proofErr w:type="spellEnd"/>
      <w:r w:rsidRPr="00BB38CE">
        <w:rPr>
          <w:rFonts w:ascii="Times New Roman" w:hAnsi="Times New Roman" w:cs="Times New Roman"/>
          <w:i/>
        </w:rPr>
        <w:t xml:space="preserve">, Société </w:t>
      </w:r>
      <w:proofErr w:type="spellStart"/>
      <w:r w:rsidRPr="00BB38CE">
        <w:rPr>
          <w:rFonts w:ascii="Times New Roman" w:hAnsi="Times New Roman" w:cs="Times New Roman"/>
          <w:i/>
        </w:rPr>
        <w:t>d’arrosage</w:t>
      </w:r>
      <w:proofErr w:type="spellEnd"/>
      <w:r w:rsidRPr="00BB38CE">
        <w:rPr>
          <w:rFonts w:ascii="Times New Roman" w:hAnsi="Times New Roman" w:cs="Times New Roman"/>
          <w:i/>
        </w:rPr>
        <w:t>) v Hudson (Town)</w:t>
      </w:r>
      <w:r>
        <w:rPr>
          <w:rFonts w:ascii="Times New Roman" w:hAnsi="Times New Roman" w:cs="Times New Roman"/>
          <w:iCs/>
        </w:rPr>
        <w:t xml:space="preserve">, </w:t>
      </w:r>
      <w:r w:rsidRPr="009B4557">
        <w:rPr>
          <w:rFonts w:ascii="Times New Roman" w:hAnsi="Times New Roman" w:cs="Times New Roman"/>
        </w:rPr>
        <w:t>2001 SCC 40 at para 3.</w:t>
      </w:r>
    </w:p>
  </w:footnote>
  <w:footnote w:id="82">
    <w:p w14:paraId="1684282D" w14:textId="6D2DA0D3" w:rsidR="0083324D" w:rsidRPr="00532AD9" w:rsidRDefault="0083324D" w:rsidP="005021E9">
      <w:pPr>
        <w:pStyle w:val="FootnoteText"/>
        <w:jc w:val="both"/>
        <w:rPr>
          <w:rFonts w:ascii="Times New Roman" w:hAnsi="Times New Roman" w:cs="Times New Roman"/>
        </w:rPr>
      </w:pPr>
      <w:r w:rsidRPr="00532AD9">
        <w:rPr>
          <w:rStyle w:val="FootnoteReference"/>
          <w:rFonts w:ascii="Times New Roman" w:hAnsi="Times New Roman" w:cs="Times New Roman"/>
        </w:rPr>
        <w:footnoteRef/>
      </w:r>
      <w:r w:rsidRPr="00532AD9">
        <w:rPr>
          <w:rFonts w:ascii="Times New Roman" w:hAnsi="Times New Roman" w:cs="Times New Roman"/>
        </w:rPr>
        <w:t xml:space="preserve"> </w:t>
      </w:r>
      <w:r w:rsidRPr="00532AD9">
        <w:rPr>
          <w:rFonts w:ascii="Times New Roman" w:hAnsi="Times New Roman" w:cs="Times New Roman"/>
          <w:i/>
        </w:rPr>
        <w:t>Daniels</w:t>
      </w:r>
      <w:r>
        <w:rPr>
          <w:rFonts w:ascii="Times New Roman" w:hAnsi="Times New Roman" w:cs="Times New Roman"/>
          <w:iCs/>
        </w:rPr>
        <w:t>,</w:t>
      </w:r>
      <w:r w:rsidRPr="00532AD9">
        <w:rPr>
          <w:rFonts w:ascii="Times New Roman" w:hAnsi="Times New Roman" w:cs="Times New Roman"/>
          <w:i/>
        </w:rPr>
        <w:t xml:space="preserve"> </w:t>
      </w:r>
      <w:r w:rsidRPr="0033354B">
        <w:rPr>
          <w:rFonts w:ascii="Times New Roman" w:hAnsi="Times New Roman" w:cs="Times New Roman"/>
          <w:i/>
        </w:rPr>
        <w:t>supra</w:t>
      </w:r>
      <w:r>
        <w:rPr>
          <w:rFonts w:ascii="Times New Roman" w:hAnsi="Times New Roman" w:cs="Times New Roman"/>
          <w:i/>
        </w:rPr>
        <w:t xml:space="preserve"> </w:t>
      </w:r>
      <w:r>
        <w:rPr>
          <w:rFonts w:ascii="Times New Roman" w:hAnsi="Times New Roman" w:cs="Times New Roman"/>
        </w:rPr>
        <w:t xml:space="preserve">note 4 </w:t>
      </w:r>
      <w:r w:rsidRPr="00532AD9">
        <w:rPr>
          <w:rFonts w:ascii="Times New Roman" w:hAnsi="Times New Roman" w:cs="Times New Roman"/>
        </w:rPr>
        <w:t>at para 37.</w:t>
      </w:r>
    </w:p>
  </w:footnote>
  <w:footnote w:id="83">
    <w:p w14:paraId="4EF3437F" w14:textId="250862A4" w:rsidR="0083324D" w:rsidRPr="00F45001" w:rsidRDefault="0083324D" w:rsidP="005021E9">
      <w:pPr>
        <w:pStyle w:val="FootnoteText"/>
        <w:jc w:val="both"/>
        <w:rPr>
          <w:rFonts w:ascii="Times New Roman" w:hAnsi="Times New Roman" w:cs="Times New Roman"/>
        </w:rPr>
      </w:pPr>
      <w:r w:rsidRPr="00F45001">
        <w:rPr>
          <w:rStyle w:val="FootnoteReference"/>
          <w:rFonts w:ascii="Times New Roman" w:hAnsi="Times New Roman" w:cs="Times New Roman"/>
        </w:rPr>
        <w:footnoteRef/>
      </w:r>
      <w:r w:rsidRPr="00F45001">
        <w:rPr>
          <w:rFonts w:ascii="Times New Roman" w:hAnsi="Times New Roman" w:cs="Times New Roman"/>
        </w:rPr>
        <w:t xml:space="preserve"> Reading </w:t>
      </w:r>
      <w:r>
        <w:rPr>
          <w:rFonts w:ascii="Times New Roman" w:hAnsi="Times New Roman" w:cs="Times New Roman"/>
        </w:rPr>
        <w:t xml:space="preserve">in </w:t>
      </w:r>
      <w:r w:rsidRPr="00F45001">
        <w:rPr>
          <w:rFonts w:ascii="Times New Roman" w:hAnsi="Times New Roman" w:cs="Times New Roman"/>
        </w:rPr>
        <w:t xml:space="preserve">a ‘reconciliation’ interpretive principle from </w:t>
      </w:r>
      <w:r w:rsidRPr="00F45001">
        <w:rPr>
          <w:rFonts w:ascii="Times New Roman" w:hAnsi="Times New Roman" w:cs="Times New Roman"/>
          <w:i/>
        </w:rPr>
        <w:t xml:space="preserve">Daniels </w:t>
      </w:r>
      <w:r>
        <w:rPr>
          <w:rFonts w:ascii="Times New Roman" w:hAnsi="Times New Roman" w:cs="Times New Roman"/>
          <w:iCs/>
        </w:rPr>
        <w:t>(</w:t>
      </w:r>
      <w:r w:rsidRPr="00F45001">
        <w:rPr>
          <w:rFonts w:ascii="Times New Roman" w:hAnsi="Times New Roman" w:cs="Times New Roman"/>
          <w:i/>
        </w:rPr>
        <w:t>ibid</w:t>
      </w:r>
      <w:r>
        <w:rPr>
          <w:rFonts w:ascii="Times New Roman" w:hAnsi="Times New Roman" w:cs="Times New Roman"/>
          <w:iCs/>
        </w:rPr>
        <w:t>)</w:t>
      </w:r>
      <w:r w:rsidRPr="00F45001">
        <w:rPr>
          <w:rFonts w:ascii="Times New Roman" w:hAnsi="Times New Roman" w:cs="Times New Roman"/>
          <w:i/>
        </w:rPr>
        <w:t xml:space="preserve"> </w:t>
      </w:r>
      <w:r w:rsidRPr="00F45001">
        <w:rPr>
          <w:rFonts w:ascii="Times New Roman" w:hAnsi="Times New Roman" w:cs="Times New Roman"/>
        </w:rPr>
        <w:t xml:space="preserve">was proposed by the First Nation Caring Society as an intervener in </w:t>
      </w:r>
      <w:r w:rsidRPr="00F45001">
        <w:rPr>
          <w:rFonts w:ascii="Times New Roman" w:hAnsi="Times New Roman" w:cs="Times New Roman"/>
          <w:i/>
        </w:rPr>
        <w:t>Canadian Human Rights Commission v Canada</w:t>
      </w:r>
      <w:r w:rsidRPr="00F45001">
        <w:rPr>
          <w:rFonts w:ascii="Times New Roman" w:hAnsi="Times New Roman" w:cs="Times New Roman"/>
        </w:rPr>
        <w:t xml:space="preserve">, court file no. 37280, at paras </w:t>
      </w:r>
      <w:r>
        <w:rPr>
          <w:rFonts w:ascii="Times New Roman" w:hAnsi="Times New Roman" w:cs="Times New Roman"/>
        </w:rPr>
        <w:t>29–30</w:t>
      </w:r>
      <w:r w:rsidRPr="00F45001">
        <w:rPr>
          <w:rFonts w:ascii="Times New Roman" w:hAnsi="Times New Roman" w:cs="Times New Roman"/>
        </w:rPr>
        <w:t>.</w:t>
      </w:r>
    </w:p>
  </w:footnote>
  <w:footnote w:id="84">
    <w:p w14:paraId="0E914C0C" w14:textId="2F2A7C5D"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proofErr w:type="gramStart"/>
      <w:r w:rsidRPr="009B4557">
        <w:rPr>
          <w:rFonts w:ascii="Times New Roman" w:hAnsi="Times New Roman" w:cs="Times New Roman"/>
          <w:i/>
          <w:iCs/>
          <w:color w:val="000000"/>
          <w:shd w:val="clear" w:color="auto" w:fill="FFFFFF"/>
        </w:rPr>
        <w:t>Beckman v Little Salmon/</w:t>
      </w:r>
      <w:proofErr w:type="spellStart"/>
      <w:r w:rsidRPr="009B4557">
        <w:rPr>
          <w:rFonts w:ascii="Times New Roman" w:hAnsi="Times New Roman" w:cs="Times New Roman"/>
          <w:i/>
          <w:iCs/>
          <w:color w:val="000000"/>
          <w:shd w:val="clear" w:color="auto" w:fill="FFFFFF"/>
        </w:rPr>
        <w:t>Carmacks</w:t>
      </w:r>
      <w:proofErr w:type="spellEnd"/>
      <w:r w:rsidRPr="009B4557">
        <w:rPr>
          <w:rFonts w:ascii="Times New Roman" w:hAnsi="Times New Roman" w:cs="Times New Roman"/>
          <w:i/>
          <w:iCs/>
          <w:color w:val="000000"/>
          <w:shd w:val="clear" w:color="auto" w:fill="FFFFFF"/>
        </w:rPr>
        <w:t xml:space="preserve"> First Nation,</w:t>
      </w:r>
      <w:proofErr w:type="gramEnd"/>
      <w:r w:rsidRPr="009B4557">
        <w:rPr>
          <w:rFonts w:ascii="Times New Roman" w:hAnsi="Times New Roman" w:cs="Times New Roman"/>
          <w:i/>
          <w:iCs/>
          <w:color w:val="000000"/>
          <w:shd w:val="clear" w:color="auto" w:fill="FFFFFF"/>
        </w:rPr>
        <w:t xml:space="preserve"> </w:t>
      </w:r>
      <w:r w:rsidRPr="00273FC0">
        <w:rPr>
          <w:rFonts w:ascii="Times New Roman" w:hAnsi="Times New Roman" w:cs="Times New Roman"/>
          <w:i/>
          <w:iCs/>
          <w:color w:val="000000"/>
          <w:shd w:val="clear" w:color="auto" w:fill="FFFFFF"/>
        </w:rPr>
        <w:t>supra</w:t>
      </w:r>
      <w:r w:rsidRPr="009B4557">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note 3</w:t>
      </w:r>
      <w:r w:rsidR="00BC0E40">
        <w:rPr>
          <w:rFonts w:ascii="Times New Roman" w:hAnsi="Times New Roman" w:cs="Times New Roman"/>
          <w:color w:val="000000"/>
          <w:shd w:val="clear" w:color="auto" w:fill="FFFFFF"/>
        </w:rPr>
        <w:t>2</w:t>
      </w:r>
      <w:r>
        <w:rPr>
          <w:rFonts w:ascii="Times New Roman" w:hAnsi="Times New Roman" w:cs="Times New Roman"/>
          <w:color w:val="000000"/>
          <w:shd w:val="clear" w:color="auto" w:fill="FFFFFF"/>
        </w:rPr>
        <w:t xml:space="preserve"> </w:t>
      </w:r>
      <w:r w:rsidRPr="009B4557">
        <w:rPr>
          <w:rFonts w:ascii="Times New Roman" w:hAnsi="Times New Roman" w:cs="Times New Roman"/>
          <w:color w:val="000000"/>
          <w:shd w:val="clear" w:color="auto" w:fill="FFFFFF"/>
        </w:rPr>
        <w:t>at para 42.</w:t>
      </w:r>
      <w:r>
        <w:rPr>
          <w:rFonts w:ascii="Times New Roman" w:hAnsi="Times New Roman" w:cs="Times New Roman"/>
          <w:color w:val="000000"/>
          <w:shd w:val="clear" w:color="auto" w:fill="FFFFFF"/>
        </w:rPr>
        <w:t xml:space="preserve"> </w:t>
      </w:r>
    </w:p>
  </w:footnote>
  <w:footnote w:id="85">
    <w:p w14:paraId="2AF98198" w14:textId="036C67F6"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sidRPr="009B4557">
        <w:rPr>
          <w:rFonts w:ascii="Times New Roman" w:hAnsi="Times New Roman" w:cs="Times New Roman"/>
          <w:i/>
          <w:color w:val="000000"/>
          <w:shd w:val="clear" w:color="auto" w:fill="FFFFFF"/>
        </w:rPr>
        <w:t>Manitoba Metis Federation Inc</w:t>
      </w:r>
      <w:r>
        <w:rPr>
          <w:rFonts w:ascii="Times New Roman" w:hAnsi="Times New Roman" w:cs="Times New Roman"/>
          <w:i/>
          <w:color w:val="000000"/>
          <w:shd w:val="clear" w:color="auto" w:fill="FFFFFF"/>
        </w:rPr>
        <w:t>.</w:t>
      </w:r>
      <w:r w:rsidRPr="009B4557">
        <w:rPr>
          <w:rFonts w:ascii="Times New Roman" w:hAnsi="Times New Roman" w:cs="Times New Roman"/>
          <w:i/>
          <w:color w:val="000000"/>
          <w:shd w:val="clear" w:color="auto" w:fill="FFFFFF"/>
        </w:rPr>
        <w:t xml:space="preserve"> v Canada (Attorney General), </w:t>
      </w:r>
      <w:r w:rsidRPr="009B4557">
        <w:rPr>
          <w:rFonts w:ascii="Times New Roman" w:hAnsi="Times New Roman" w:cs="Times New Roman"/>
          <w:color w:val="000000"/>
          <w:shd w:val="clear" w:color="auto" w:fill="FFFFFF"/>
        </w:rPr>
        <w:t>2013 SCC 14 at para 75.</w:t>
      </w:r>
    </w:p>
  </w:footnote>
  <w:footnote w:id="86">
    <w:p w14:paraId="12138070" w14:textId="596F3FB1"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Pr>
          <w:rFonts w:ascii="Times New Roman" w:hAnsi="Times New Roman" w:cs="Times New Roman"/>
        </w:rPr>
        <w:t xml:space="preserve">Department of Justice Canada, News Release, “Government of Canada Sets a Principled Foundation for Advancing Renewed Relationship with Indigenous Peoples based on the Recognition of Rights” (14 July 2017).  See also </w:t>
      </w:r>
      <w:r w:rsidRPr="009B4557">
        <w:rPr>
          <w:rFonts w:ascii="Times New Roman" w:hAnsi="Times New Roman" w:cs="Times New Roman"/>
        </w:rPr>
        <w:t xml:space="preserve">Canada, </w:t>
      </w:r>
      <w:r w:rsidRPr="00684B3E">
        <w:rPr>
          <w:rFonts w:ascii="Times New Roman" w:hAnsi="Times New Roman" w:cs="Times New Roman"/>
          <w:i/>
          <w:iCs/>
        </w:rPr>
        <w:t>Principles respecting the Government of Canada’s relationship with Indigenous peoples</w:t>
      </w:r>
      <w:r w:rsidRPr="009B4557">
        <w:rPr>
          <w:rFonts w:ascii="Times New Roman" w:hAnsi="Times New Roman" w:cs="Times New Roman"/>
        </w:rPr>
        <w:t xml:space="preserve"> </w:t>
      </w:r>
      <w:r w:rsidRPr="00684B3E">
        <w:rPr>
          <w:rFonts w:ascii="Times New Roman" w:hAnsi="Times New Roman" w:cs="Times New Roman"/>
        </w:rPr>
        <w:t xml:space="preserve">(Ottawa: Minister of Justice and Attorney General of Canada, </w:t>
      </w:r>
      <w:r w:rsidRPr="00BE2C38">
        <w:rPr>
          <w:rFonts w:ascii="Times New Roman" w:hAnsi="Times New Roman" w:cs="Times New Roman"/>
        </w:rPr>
        <w:t>2018) (10 Principles)</w:t>
      </w:r>
      <w:r w:rsidRPr="005E471A">
        <w:rPr>
          <w:rFonts w:ascii="Times New Roman" w:hAnsi="Times New Roman" w:cs="Times New Roman"/>
        </w:rPr>
        <w:t>.</w:t>
      </w:r>
    </w:p>
  </w:footnote>
  <w:footnote w:id="87">
    <w:p w14:paraId="7FA95D93" w14:textId="3D93311A"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w:t>
      </w:r>
      <w:r>
        <w:rPr>
          <w:rFonts w:ascii="Times New Roman" w:hAnsi="Times New Roman" w:cs="Times New Roman"/>
        </w:rPr>
        <w:t xml:space="preserve">10 Principles, </w:t>
      </w:r>
      <w:r>
        <w:rPr>
          <w:rFonts w:ascii="Times New Roman" w:hAnsi="Times New Roman" w:cs="Times New Roman"/>
          <w:i/>
        </w:rPr>
        <w:t>i</w:t>
      </w:r>
      <w:r w:rsidRPr="009B4557">
        <w:rPr>
          <w:rFonts w:ascii="Times New Roman" w:hAnsi="Times New Roman" w:cs="Times New Roman"/>
          <w:i/>
        </w:rPr>
        <w:t>bid.</w:t>
      </w:r>
    </w:p>
  </w:footnote>
  <w:footnote w:id="88">
    <w:p w14:paraId="7F0531C1" w14:textId="677AB027" w:rsidR="0083324D" w:rsidRDefault="0083324D" w:rsidP="005021E9">
      <w:pPr>
        <w:pStyle w:val="FootnoteText"/>
        <w:jc w:val="both"/>
      </w:pPr>
      <w:r>
        <w:rPr>
          <w:rStyle w:val="FootnoteReference"/>
        </w:rPr>
        <w:footnoteRef/>
      </w:r>
      <w:r>
        <w:t xml:space="preserve"> </w:t>
      </w:r>
      <w:r w:rsidRPr="009B4557">
        <w:rPr>
          <w:rFonts w:ascii="Times New Roman" w:hAnsi="Times New Roman" w:cs="Times New Roman"/>
          <w:color w:val="000000"/>
          <w:shd w:val="clear" w:color="auto" w:fill="FFFFFF"/>
        </w:rPr>
        <w:t xml:space="preserve">For support for arguments that Canada should be honour-bound to these commitments, see </w:t>
      </w:r>
      <w:bookmarkStart w:id="14" w:name="_Hlk39492681"/>
      <w:r w:rsidRPr="009B4557">
        <w:rPr>
          <w:rFonts w:ascii="Times New Roman" w:hAnsi="Times New Roman" w:cs="Times New Roman"/>
        </w:rPr>
        <w:t xml:space="preserve">Gib van </w:t>
      </w:r>
      <w:r w:rsidRPr="009B4557">
        <w:rPr>
          <w:rFonts w:ascii="Times New Roman" w:hAnsi="Times New Roman" w:cs="Times New Roman"/>
          <w:noProof/>
        </w:rPr>
        <w:t>Ert</w:t>
      </w:r>
      <w:r w:rsidRPr="009B4557">
        <w:rPr>
          <w:rFonts w:ascii="Times New Roman" w:hAnsi="Times New Roman" w:cs="Times New Roman"/>
        </w:rPr>
        <w:t xml:space="preserve">, “Three Good Reasons Why UNDRIP </w:t>
      </w:r>
      <w:r>
        <w:rPr>
          <w:rFonts w:ascii="Times New Roman" w:hAnsi="Times New Roman" w:cs="Times New Roman"/>
        </w:rPr>
        <w:t>C</w:t>
      </w:r>
      <w:r w:rsidRPr="009B4557">
        <w:rPr>
          <w:rFonts w:ascii="Times New Roman" w:hAnsi="Times New Roman" w:cs="Times New Roman"/>
        </w:rPr>
        <w:t>an’t be Law –</w:t>
      </w:r>
      <w:r>
        <w:rPr>
          <w:rFonts w:ascii="Times New Roman" w:hAnsi="Times New Roman" w:cs="Times New Roman"/>
        </w:rPr>
        <w:t xml:space="preserve"> </w:t>
      </w:r>
      <w:r w:rsidRPr="009B4557">
        <w:rPr>
          <w:rFonts w:ascii="Times New Roman" w:hAnsi="Times New Roman" w:cs="Times New Roman"/>
        </w:rPr>
        <w:t xml:space="preserve">and One Good Reason Why it Can,” (2017) </w:t>
      </w:r>
      <w:r>
        <w:rPr>
          <w:rFonts w:ascii="Times New Roman" w:hAnsi="Times New Roman" w:cs="Times New Roman"/>
        </w:rPr>
        <w:t>75:1 T</w:t>
      </w:r>
      <w:r w:rsidRPr="009B4557">
        <w:rPr>
          <w:rFonts w:ascii="Times New Roman" w:hAnsi="Times New Roman" w:cs="Times New Roman"/>
        </w:rPr>
        <w:t xml:space="preserve">he Advocate </w:t>
      </w:r>
      <w:r>
        <w:rPr>
          <w:rFonts w:ascii="Times New Roman" w:hAnsi="Times New Roman" w:cs="Times New Roman"/>
        </w:rPr>
        <w:t>29</w:t>
      </w:r>
      <w:r w:rsidRPr="009B4557">
        <w:rPr>
          <w:rFonts w:ascii="Times New Roman" w:hAnsi="Times New Roman" w:cs="Times New Roman"/>
        </w:rPr>
        <w:t>.</w:t>
      </w:r>
      <w:bookmarkEnd w:id="14"/>
    </w:p>
  </w:footnote>
  <w:footnote w:id="89">
    <w:p w14:paraId="522C236D" w14:textId="5975FE0A"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3B4AB5">
        <w:rPr>
          <w:rFonts w:ascii="Times New Roman" w:hAnsi="Times New Roman" w:cs="Times New Roman"/>
          <w:i/>
        </w:rPr>
        <w:t>International Convention on the Elimination of all forms of Racial Discriminatio</w:t>
      </w:r>
      <w:r>
        <w:rPr>
          <w:rFonts w:ascii="Times New Roman" w:hAnsi="Times New Roman" w:cs="Times New Roman"/>
          <w:i/>
        </w:rPr>
        <w:t xml:space="preserve">n, </w:t>
      </w:r>
      <w:r w:rsidRPr="00684B3E">
        <w:rPr>
          <w:rFonts w:ascii="Times New Roman" w:hAnsi="Times New Roman" w:cs="Times New Roman"/>
        </w:rPr>
        <w:t>GA Res 2106 (XX) CERD (1965)</w:t>
      </w:r>
      <w:r w:rsidRPr="009B4557">
        <w:rPr>
          <w:rFonts w:ascii="Times New Roman" w:hAnsi="Times New Roman" w:cs="Times New Roman"/>
        </w:rPr>
        <w:t xml:space="preserve"> (Can. 1970) and </w:t>
      </w:r>
      <w:r w:rsidRPr="003B4AB5">
        <w:rPr>
          <w:rFonts w:ascii="Times New Roman" w:hAnsi="Times New Roman" w:cs="Times New Roman"/>
          <w:i/>
        </w:rPr>
        <w:t xml:space="preserve">International Covenant on Civil and Political Rights, </w:t>
      </w:r>
      <w:r w:rsidRPr="00684B3E">
        <w:rPr>
          <w:rFonts w:ascii="Times New Roman" w:hAnsi="Times New Roman" w:cs="Times New Roman"/>
        </w:rPr>
        <w:t>GA Res 2200A (XXI) CCPR (1996)</w:t>
      </w:r>
      <w:r w:rsidRPr="00684B3E" w:rsidDel="003B4AB5">
        <w:rPr>
          <w:rFonts w:ascii="Times New Roman" w:hAnsi="Times New Roman" w:cs="Times New Roman"/>
        </w:rPr>
        <w:t xml:space="preserve"> </w:t>
      </w:r>
      <w:r w:rsidRPr="009B4557">
        <w:rPr>
          <w:rFonts w:ascii="Times New Roman" w:hAnsi="Times New Roman" w:cs="Times New Roman"/>
        </w:rPr>
        <w:t>(Can. 1976).</w:t>
      </w:r>
      <w:r>
        <w:rPr>
          <w:rFonts w:ascii="Times New Roman" w:hAnsi="Times New Roman" w:cs="Times New Roman"/>
        </w:rPr>
        <w:t xml:space="preserve"> </w:t>
      </w:r>
    </w:p>
  </w:footnote>
  <w:footnote w:id="90">
    <w:p w14:paraId="10BDEA8B" w14:textId="781DC9B8"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r w:rsidRPr="009B4557">
        <w:rPr>
          <w:rFonts w:ascii="Times New Roman" w:hAnsi="Times New Roman" w:cs="Times New Roman"/>
          <w:i/>
        </w:rPr>
        <w:t xml:space="preserve">R v </w:t>
      </w:r>
      <w:proofErr w:type="spellStart"/>
      <w:r w:rsidRPr="009B4557">
        <w:rPr>
          <w:rFonts w:ascii="Times New Roman" w:hAnsi="Times New Roman" w:cs="Times New Roman"/>
          <w:i/>
        </w:rPr>
        <w:t>Hape</w:t>
      </w:r>
      <w:proofErr w:type="spellEnd"/>
      <w:r w:rsidRPr="009B4557">
        <w:rPr>
          <w:rFonts w:ascii="Times New Roman" w:hAnsi="Times New Roman" w:cs="Times New Roman"/>
          <w:i/>
        </w:rPr>
        <w:t xml:space="preserve">, </w:t>
      </w:r>
      <w:r w:rsidRPr="009B4557">
        <w:rPr>
          <w:rFonts w:ascii="Times New Roman" w:hAnsi="Times New Roman" w:cs="Times New Roman"/>
        </w:rPr>
        <w:t>2007 SCC 26 at para 53.</w:t>
      </w:r>
    </w:p>
  </w:footnote>
  <w:footnote w:id="91">
    <w:p w14:paraId="2DE168D1" w14:textId="74FC8F13"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w:t>
      </w:r>
      <w:proofErr w:type="spellStart"/>
      <w:r w:rsidRPr="009B4557">
        <w:rPr>
          <w:rFonts w:ascii="Times New Roman" w:hAnsi="Times New Roman" w:cs="Times New Roman"/>
          <w:i/>
        </w:rPr>
        <w:t>Slaight</w:t>
      </w:r>
      <w:proofErr w:type="spellEnd"/>
      <w:r w:rsidRPr="009B4557">
        <w:rPr>
          <w:rFonts w:ascii="Times New Roman" w:hAnsi="Times New Roman" w:cs="Times New Roman"/>
          <w:i/>
        </w:rPr>
        <w:t xml:space="preserve"> Communications Inc</w:t>
      </w:r>
      <w:r>
        <w:rPr>
          <w:rFonts w:ascii="Times New Roman" w:hAnsi="Times New Roman" w:cs="Times New Roman"/>
          <w:i/>
        </w:rPr>
        <w:t>.</w:t>
      </w:r>
      <w:r w:rsidRPr="009B4557">
        <w:rPr>
          <w:rFonts w:ascii="Times New Roman" w:hAnsi="Times New Roman" w:cs="Times New Roman"/>
          <w:i/>
        </w:rPr>
        <w:t xml:space="preserve"> v Davidson</w:t>
      </w:r>
      <w:r w:rsidRPr="009B4557">
        <w:rPr>
          <w:rFonts w:ascii="Times New Roman" w:hAnsi="Times New Roman" w:cs="Times New Roman"/>
        </w:rPr>
        <w:t xml:space="preserve">, [1989] 1 S.C.R. 1038; </w:t>
      </w:r>
      <w:r w:rsidRPr="009B4557">
        <w:rPr>
          <w:rFonts w:ascii="Times New Roman" w:hAnsi="Times New Roman" w:cs="Times New Roman"/>
          <w:i/>
        </w:rPr>
        <w:t>Reference re Public Service Employee Relations Act (Alta.)</w:t>
      </w:r>
      <w:r w:rsidRPr="009B4557">
        <w:rPr>
          <w:rFonts w:ascii="Times New Roman" w:hAnsi="Times New Roman" w:cs="Times New Roman"/>
        </w:rPr>
        <w:t xml:space="preserve">, [1987] 1 SCR 313; </w:t>
      </w:r>
      <w:r w:rsidRPr="009B4557">
        <w:rPr>
          <w:rFonts w:ascii="Times New Roman" w:hAnsi="Times New Roman" w:cs="Times New Roman"/>
          <w:i/>
        </w:rPr>
        <w:t>Re B.C. Motor Vehicle Act</w:t>
      </w:r>
      <w:r w:rsidRPr="009B4557">
        <w:rPr>
          <w:rFonts w:ascii="Times New Roman" w:hAnsi="Times New Roman" w:cs="Times New Roman"/>
        </w:rPr>
        <w:t xml:space="preserve">, [1985] 2 SCR 486 at 503; </w:t>
      </w:r>
      <w:r w:rsidRPr="00860F75">
        <w:rPr>
          <w:rFonts w:ascii="Times New Roman" w:hAnsi="Times New Roman" w:cs="Times New Roman"/>
          <w:i/>
        </w:rPr>
        <w:t>Suresh v Canada (Minister of Citizenship and Immigration),</w:t>
      </w:r>
      <w:r w:rsidRPr="00A9049F">
        <w:rPr>
          <w:rFonts w:ascii="Times New Roman" w:hAnsi="Times New Roman" w:cs="Times New Roman"/>
          <w:iCs/>
        </w:rPr>
        <w:t xml:space="preserve"> 2002 SCC 1 at paras </w:t>
      </w:r>
      <w:r>
        <w:rPr>
          <w:rFonts w:ascii="Times New Roman" w:hAnsi="Times New Roman" w:cs="Times New Roman"/>
          <w:iCs/>
        </w:rPr>
        <w:t>59–75</w:t>
      </w:r>
      <w:r w:rsidRPr="00A9049F">
        <w:rPr>
          <w:rFonts w:ascii="Times New Roman" w:hAnsi="Times New Roman" w:cs="Times New Roman"/>
          <w:iCs/>
        </w:rPr>
        <w:t>;</w:t>
      </w:r>
      <w:r w:rsidRPr="009B4557">
        <w:rPr>
          <w:rFonts w:ascii="Times New Roman" w:hAnsi="Times New Roman" w:cs="Times New Roman"/>
          <w:i/>
        </w:rPr>
        <w:t xml:space="preserve"> United States v Burns</w:t>
      </w:r>
      <w:r w:rsidRPr="009B4557">
        <w:rPr>
          <w:rFonts w:ascii="Times New Roman" w:hAnsi="Times New Roman" w:cs="Times New Roman"/>
        </w:rPr>
        <w:t xml:space="preserve">, [2001] 1 SCR 283; </w:t>
      </w:r>
      <w:r w:rsidRPr="009B4557">
        <w:rPr>
          <w:rFonts w:ascii="Times New Roman" w:hAnsi="Times New Roman" w:cs="Times New Roman"/>
          <w:i/>
        </w:rPr>
        <w:t>Canadian Foundation for Children, Youth and the Law v Canada (Attorney General)</w:t>
      </w:r>
      <w:r w:rsidRPr="009B4557">
        <w:rPr>
          <w:rFonts w:ascii="Times New Roman" w:hAnsi="Times New Roman" w:cs="Times New Roman"/>
        </w:rPr>
        <w:t xml:space="preserve">, </w:t>
      </w:r>
      <w:r w:rsidRPr="000841F7">
        <w:rPr>
          <w:rFonts w:ascii="Times New Roman" w:hAnsi="Times New Roman" w:cs="Times New Roman"/>
        </w:rPr>
        <w:t>2004 SCC 4</w:t>
      </w:r>
      <w:r w:rsidRPr="009B4557">
        <w:rPr>
          <w:rFonts w:ascii="Times New Roman" w:hAnsi="Times New Roman" w:cs="Times New Roman"/>
        </w:rPr>
        <w:t xml:space="preserve">; </w:t>
      </w:r>
      <w:r w:rsidRPr="009B4557">
        <w:rPr>
          <w:rFonts w:ascii="Times New Roman" w:hAnsi="Times New Roman" w:cs="Times New Roman"/>
          <w:i/>
        </w:rPr>
        <w:t xml:space="preserve">Dunmore v Ontario (Attorney General), </w:t>
      </w:r>
      <w:r w:rsidRPr="009B4557">
        <w:rPr>
          <w:rFonts w:ascii="Times New Roman" w:hAnsi="Times New Roman" w:cs="Times New Roman"/>
        </w:rPr>
        <w:t xml:space="preserve">2001 SCC 94 at paras 16 and 27; </w:t>
      </w:r>
      <w:r w:rsidRPr="009B4557">
        <w:rPr>
          <w:rFonts w:ascii="Times New Roman" w:hAnsi="Times New Roman" w:cs="Times New Roman"/>
          <w:i/>
        </w:rPr>
        <w:t xml:space="preserve">Health Services and Support </w:t>
      </w:r>
      <w:r>
        <w:rPr>
          <w:rFonts w:ascii="Times New Roman" w:hAnsi="Times New Roman" w:cs="Times New Roman"/>
          <w:iCs/>
        </w:rPr>
        <w:t>–</w:t>
      </w:r>
      <w:r w:rsidRPr="009B4557">
        <w:rPr>
          <w:rFonts w:ascii="Times New Roman" w:hAnsi="Times New Roman" w:cs="Times New Roman"/>
          <w:i/>
        </w:rPr>
        <w:t xml:space="preserve"> Facilities Subsector Bargaining Assn. v British Columbia, </w:t>
      </w:r>
      <w:r w:rsidRPr="009B4557">
        <w:rPr>
          <w:rFonts w:ascii="Times New Roman" w:hAnsi="Times New Roman" w:cs="Times New Roman"/>
        </w:rPr>
        <w:t xml:space="preserve">2007 SCC 27 at paras </w:t>
      </w:r>
      <w:r>
        <w:rPr>
          <w:rFonts w:ascii="Times New Roman" w:hAnsi="Times New Roman" w:cs="Times New Roman"/>
        </w:rPr>
        <w:t>69–79</w:t>
      </w:r>
      <w:r w:rsidRPr="009B4557">
        <w:rPr>
          <w:rFonts w:ascii="Times New Roman" w:hAnsi="Times New Roman" w:cs="Times New Roman"/>
        </w:rPr>
        <w:t>.</w:t>
      </w:r>
    </w:p>
  </w:footnote>
  <w:footnote w:id="92">
    <w:p w14:paraId="149E37B1" w14:textId="48376635" w:rsidR="0083324D" w:rsidRPr="009B4557" w:rsidRDefault="0083324D" w:rsidP="005021E9">
      <w:pPr>
        <w:pStyle w:val="ListParagraph"/>
        <w:ind w:left="0"/>
        <w:contextualSpacing w:val="0"/>
        <w:jc w:val="both"/>
        <w:rPr>
          <w:rFonts w:ascii="Times New Roman" w:hAnsi="Times New Roman" w:cs="Times New Roman"/>
          <w:sz w:val="20"/>
          <w:szCs w:val="20"/>
        </w:rPr>
      </w:pPr>
      <w:r w:rsidRPr="009B4557">
        <w:rPr>
          <w:rStyle w:val="FootnoteReference"/>
          <w:rFonts w:ascii="Times New Roman" w:hAnsi="Times New Roman" w:cs="Times New Roman"/>
          <w:sz w:val="20"/>
          <w:szCs w:val="20"/>
        </w:rPr>
        <w:footnoteRef/>
      </w:r>
      <w:r w:rsidRPr="009B4557">
        <w:rPr>
          <w:rFonts w:ascii="Times New Roman" w:hAnsi="Times New Roman" w:cs="Times New Roman"/>
          <w:sz w:val="20"/>
          <w:szCs w:val="20"/>
        </w:rPr>
        <w:t xml:space="preserve"> See Brenda L Gunn, “Overcoming Obstacles to Implementing the </w:t>
      </w:r>
      <w:r w:rsidRPr="00A9049F">
        <w:rPr>
          <w:rFonts w:ascii="Times New Roman" w:hAnsi="Times New Roman" w:cs="Times New Roman"/>
          <w:i/>
          <w:iCs/>
          <w:sz w:val="20"/>
          <w:szCs w:val="20"/>
        </w:rPr>
        <w:t>UN Declaration on the Rights of Indigenous Peoples</w:t>
      </w:r>
      <w:r>
        <w:rPr>
          <w:rFonts w:ascii="Times New Roman" w:hAnsi="Times New Roman" w:cs="Times New Roman"/>
          <w:sz w:val="20"/>
          <w:szCs w:val="20"/>
        </w:rPr>
        <w:t xml:space="preserve"> in Canada</w:t>
      </w:r>
      <w:r w:rsidRPr="009B4557">
        <w:rPr>
          <w:rFonts w:ascii="Times New Roman" w:hAnsi="Times New Roman" w:cs="Times New Roman"/>
          <w:sz w:val="20"/>
          <w:szCs w:val="20"/>
        </w:rPr>
        <w:t>” (2013) 31 Windsor YB Access Just 147</w:t>
      </w:r>
      <w:r>
        <w:rPr>
          <w:rFonts w:ascii="Times New Roman" w:hAnsi="Times New Roman" w:cs="Times New Roman"/>
          <w:sz w:val="20"/>
          <w:szCs w:val="20"/>
        </w:rPr>
        <w:t>;</w:t>
      </w:r>
      <w:r w:rsidRPr="009B4557">
        <w:rPr>
          <w:rFonts w:ascii="Times New Roman" w:hAnsi="Times New Roman" w:cs="Times New Roman"/>
          <w:sz w:val="20"/>
          <w:szCs w:val="20"/>
        </w:rPr>
        <w:t xml:space="preserve"> Paul Joffe, “</w:t>
      </w:r>
      <w:r w:rsidRPr="00A9049F">
        <w:rPr>
          <w:rFonts w:ascii="Times New Roman" w:hAnsi="Times New Roman" w:cs="Times New Roman"/>
          <w:i/>
          <w:iCs/>
          <w:sz w:val="20"/>
          <w:szCs w:val="20"/>
        </w:rPr>
        <w:t>UN Declaration on the Rights of Indigenous Peoples</w:t>
      </w:r>
      <w:r w:rsidRPr="009B4557">
        <w:rPr>
          <w:rFonts w:ascii="Times New Roman" w:hAnsi="Times New Roman" w:cs="Times New Roman"/>
          <w:sz w:val="20"/>
          <w:szCs w:val="20"/>
        </w:rPr>
        <w:t>: Canadian Government Positions Incompatible with Genuine Reconciliation” (2010) 26 Nat</w:t>
      </w:r>
      <w:r>
        <w:rPr>
          <w:rFonts w:ascii="Times New Roman" w:hAnsi="Times New Roman" w:cs="Times New Roman"/>
          <w:sz w:val="20"/>
          <w:szCs w:val="20"/>
        </w:rPr>
        <w:t>’</w:t>
      </w:r>
      <w:r w:rsidRPr="009B4557">
        <w:rPr>
          <w:rFonts w:ascii="Times New Roman" w:hAnsi="Times New Roman" w:cs="Times New Roman"/>
          <w:sz w:val="20"/>
          <w:szCs w:val="20"/>
        </w:rPr>
        <w:t xml:space="preserve">l J Const L 121. </w:t>
      </w:r>
    </w:p>
  </w:footnote>
  <w:footnote w:id="93">
    <w:p w14:paraId="0F93C315" w14:textId="2495CD3A" w:rsidR="0083324D" w:rsidRPr="009B4557" w:rsidRDefault="0083324D" w:rsidP="005021E9">
      <w:pPr>
        <w:pStyle w:val="FootnoteText"/>
        <w:jc w:val="both"/>
        <w:rPr>
          <w:rFonts w:ascii="Times New Roman" w:hAnsi="Times New Roman" w:cs="Times New Roman"/>
        </w:rPr>
      </w:pPr>
      <w:r w:rsidRPr="009B4557">
        <w:rPr>
          <w:rStyle w:val="FootnoteReference"/>
          <w:rFonts w:ascii="Times New Roman" w:hAnsi="Times New Roman" w:cs="Times New Roman"/>
        </w:rPr>
        <w:footnoteRef/>
      </w:r>
      <w:r w:rsidRPr="009B4557">
        <w:rPr>
          <w:rFonts w:ascii="Times New Roman" w:hAnsi="Times New Roman" w:cs="Times New Roman"/>
        </w:rPr>
        <w:t xml:space="preserve"> See Joffe, </w:t>
      </w:r>
      <w:r w:rsidRPr="009B4557">
        <w:rPr>
          <w:rFonts w:ascii="Times New Roman" w:hAnsi="Times New Roman" w:cs="Times New Roman"/>
          <w:i/>
        </w:rPr>
        <w:t xml:space="preserve">ibid </w:t>
      </w:r>
      <w:r w:rsidRPr="009B4557">
        <w:rPr>
          <w:rFonts w:ascii="Times New Roman" w:hAnsi="Times New Roman" w:cs="Times New Roman"/>
        </w:rPr>
        <w:t xml:space="preserve">at </w:t>
      </w:r>
      <w:r>
        <w:rPr>
          <w:rFonts w:ascii="Times New Roman" w:hAnsi="Times New Roman" w:cs="Times New Roman"/>
        </w:rPr>
        <w:t>200–208</w:t>
      </w:r>
      <w:r w:rsidRPr="009B4557">
        <w:rPr>
          <w:rFonts w:ascii="Times New Roman" w:hAnsi="Times New Roman" w:cs="Times New Roman"/>
        </w:rPr>
        <w:t>.</w:t>
      </w:r>
    </w:p>
  </w:footnote>
  <w:footnote w:id="94">
    <w:p w14:paraId="1741C2DE" w14:textId="6CFDD3CD" w:rsidR="0083324D" w:rsidRPr="006E317F" w:rsidRDefault="0083324D">
      <w:pPr>
        <w:pStyle w:val="FootnoteText"/>
        <w:rPr>
          <w:rFonts w:ascii="Times New Roman" w:hAnsi="Times New Roman" w:cs="Times New Roman"/>
        </w:rPr>
      </w:pPr>
      <w:r w:rsidRPr="006E317F">
        <w:rPr>
          <w:rStyle w:val="FootnoteReference"/>
          <w:rFonts w:ascii="Times New Roman" w:hAnsi="Times New Roman" w:cs="Times New Roman"/>
        </w:rPr>
        <w:footnoteRef/>
      </w:r>
      <w:r w:rsidRPr="006E317F">
        <w:rPr>
          <w:rFonts w:ascii="Times New Roman" w:hAnsi="Times New Roman" w:cs="Times New Roman"/>
        </w:rPr>
        <w:t xml:space="preserve"> On the argument that financing First Nation self-government is a</w:t>
      </w:r>
      <w:r>
        <w:rPr>
          <w:rFonts w:ascii="Times New Roman" w:hAnsi="Times New Roman" w:cs="Times New Roman"/>
        </w:rPr>
        <w:t xml:space="preserve">lso a </w:t>
      </w:r>
      <w:r w:rsidRPr="006E317F">
        <w:rPr>
          <w:rFonts w:ascii="Times New Roman" w:hAnsi="Times New Roman" w:cs="Times New Roman"/>
        </w:rPr>
        <w:t xml:space="preserve">fiduciary obligation, see </w:t>
      </w:r>
      <w:r>
        <w:rPr>
          <w:rFonts w:ascii="Times New Roman" w:hAnsi="Times New Roman" w:cs="Times New Roman"/>
        </w:rPr>
        <w:t>Kent McNeil, “</w:t>
      </w:r>
      <w:r w:rsidRPr="006E317F">
        <w:rPr>
          <w:rFonts w:ascii="Times New Roman" w:hAnsi="Times New Roman" w:cs="Times New Roman"/>
        </w:rPr>
        <w:t xml:space="preserve">The Crown’s Fiduciary Obligations in the Era of Aboriginal Self-Government” (2009) 88 Can Bar Rev 1 at </w:t>
      </w:r>
      <w:r>
        <w:rPr>
          <w:rFonts w:ascii="Times New Roman" w:hAnsi="Times New Roman" w:cs="Times New Roman"/>
        </w:rPr>
        <w:t>17–18</w:t>
      </w:r>
      <w:r w:rsidRPr="006E317F">
        <w:rPr>
          <w:rFonts w:ascii="Times New Roman" w:hAnsi="Times New Roman" w:cs="Times New Roman"/>
        </w:rPr>
        <w:t>.</w:t>
      </w:r>
      <w:r>
        <w:rPr>
          <w:rFonts w:ascii="Times New Roman" w:hAnsi="Times New Roman" w:cs="Times New Roman"/>
        </w:rPr>
        <w:t xml:space="preserve"> </w:t>
      </w:r>
    </w:p>
  </w:footnote>
  <w:footnote w:id="95">
    <w:p w14:paraId="62FF7018" w14:textId="448CE484" w:rsidR="0083324D" w:rsidRDefault="0083324D" w:rsidP="005021E9">
      <w:pPr>
        <w:pStyle w:val="FootnoteText"/>
        <w:jc w:val="both"/>
      </w:pPr>
      <w:r w:rsidRPr="009B4557">
        <w:rPr>
          <w:rStyle w:val="FootnoteReference"/>
          <w:rFonts w:ascii="Times New Roman" w:hAnsi="Times New Roman" w:cs="Times New Roman"/>
        </w:rPr>
        <w:footnoteRef/>
      </w:r>
      <w:r w:rsidRPr="009B4557">
        <w:rPr>
          <w:rFonts w:ascii="Times New Roman" w:hAnsi="Times New Roman" w:cs="Times New Roman"/>
        </w:rPr>
        <w:t xml:space="preserve"> See John Borrows, “</w:t>
      </w:r>
      <w:r w:rsidRPr="009B4557">
        <w:rPr>
          <w:rFonts w:ascii="Times New Roman" w:hAnsi="Times New Roman" w:cs="Times New Roman"/>
          <w:color w:val="111111"/>
          <w:shd w:val="clear" w:color="auto" w:fill="FFFFFF"/>
        </w:rPr>
        <w:t>Legislation and Indigenous Self-Determination in Canada and the United States</w:t>
      </w:r>
      <w:r>
        <w:rPr>
          <w:rFonts w:ascii="Times New Roman" w:hAnsi="Times New Roman" w:cs="Times New Roman"/>
          <w:color w:val="111111"/>
          <w:shd w:val="clear" w:color="auto" w:fill="FFFFFF"/>
        </w:rPr>
        <w:t>,</w:t>
      </w:r>
      <w:r w:rsidRPr="009B4557">
        <w:rPr>
          <w:rFonts w:ascii="Times New Roman" w:hAnsi="Times New Roman" w:cs="Times New Roman"/>
          <w:color w:val="111111"/>
          <w:shd w:val="clear" w:color="auto" w:fill="FFFFFF"/>
        </w:rPr>
        <w:t xml:space="preserve">” in </w:t>
      </w:r>
      <w:r>
        <w:rPr>
          <w:rFonts w:ascii="Times New Roman" w:hAnsi="Times New Roman" w:cs="Times New Roman"/>
          <w:color w:val="111111"/>
          <w:shd w:val="clear" w:color="auto" w:fill="FFFFFF"/>
        </w:rPr>
        <w:t xml:space="preserve">Patrick Macklem &amp; Douglas Sanderson, eds, </w:t>
      </w:r>
      <w:r w:rsidRPr="009B4557">
        <w:rPr>
          <w:rFonts w:ascii="Times New Roman" w:hAnsi="Times New Roman" w:cs="Times New Roman"/>
          <w:i/>
          <w:color w:val="111111"/>
          <w:shd w:val="clear" w:color="auto" w:fill="FFFFFF"/>
        </w:rPr>
        <w:t xml:space="preserve">From Recognition </w:t>
      </w:r>
      <w:r>
        <w:rPr>
          <w:rFonts w:ascii="Times New Roman" w:hAnsi="Times New Roman" w:cs="Times New Roman"/>
          <w:i/>
          <w:color w:val="111111"/>
          <w:shd w:val="clear" w:color="auto" w:fill="FFFFFF"/>
        </w:rPr>
        <w:t>t</w:t>
      </w:r>
      <w:r w:rsidRPr="009B4557">
        <w:rPr>
          <w:rFonts w:ascii="Times New Roman" w:hAnsi="Times New Roman" w:cs="Times New Roman"/>
          <w:i/>
          <w:color w:val="111111"/>
          <w:shd w:val="clear" w:color="auto" w:fill="FFFFFF"/>
        </w:rPr>
        <w:t xml:space="preserve">o Reconciliation: Essays </w:t>
      </w:r>
      <w:r>
        <w:rPr>
          <w:rFonts w:ascii="Times New Roman" w:hAnsi="Times New Roman" w:cs="Times New Roman"/>
          <w:i/>
          <w:color w:val="111111"/>
          <w:shd w:val="clear" w:color="auto" w:fill="FFFFFF"/>
        </w:rPr>
        <w:t>o</w:t>
      </w:r>
      <w:r w:rsidRPr="009B4557">
        <w:rPr>
          <w:rFonts w:ascii="Times New Roman" w:hAnsi="Times New Roman" w:cs="Times New Roman"/>
          <w:i/>
          <w:color w:val="111111"/>
          <w:shd w:val="clear" w:color="auto" w:fill="FFFFFF"/>
        </w:rPr>
        <w:t xml:space="preserve">n </w:t>
      </w:r>
      <w:r>
        <w:rPr>
          <w:rFonts w:ascii="Times New Roman" w:hAnsi="Times New Roman" w:cs="Times New Roman"/>
          <w:i/>
          <w:color w:val="111111"/>
          <w:shd w:val="clear" w:color="auto" w:fill="FFFFFF"/>
        </w:rPr>
        <w:t>t</w:t>
      </w:r>
      <w:r w:rsidRPr="009B4557">
        <w:rPr>
          <w:rFonts w:ascii="Times New Roman" w:hAnsi="Times New Roman" w:cs="Times New Roman"/>
          <w:i/>
          <w:color w:val="111111"/>
          <w:shd w:val="clear" w:color="auto" w:fill="FFFFFF"/>
        </w:rPr>
        <w:t xml:space="preserve">he Constitutional Entrenchment </w:t>
      </w:r>
      <w:r>
        <w:rPr>
          <w:rFonts w:ascii="Times New Roman" w:hAnsi="Times New Roman" w:cs="Times New Roman"/>
          <w:i/>
          <w:color w:val="111111"/>
          <w:shd w:val="clear" w:color="auto" w:fill="FFFFFF"/>
        </w:rPr>
        <w:t>o</w:t>
      </w:r>
      <w:r w:rsidRPr="009B4557">
        <w:rPr>
          <w:rFonts w:ascii="Times New Roman" w:hAnsi="Times New Roman" w:cs="Times New Roman"/>
          <w:i/>
          <w:color w:val="111111"/>
          <w:shd w:val="clear" w:color="auto" w:fill="FFFFFF"/>
        </w:rPr>
        <w:t xml:space="preserve">f Aboriginal </w:t>
      </w:r>
      <w:r>
        <w:rPr>
          <w:rFonts w:ascii="Times New Roman" w:hAnsi="Times New Roman" w:cs="Times New Roman"/>
          <w:i/>
          <w:color w:val="111111"/>
          <w:shd w:val="clear" w:color="auto" w:fill="FFFFFF"/>
        </w:rPr>
        <w:t>a</w:t>
      </w:r>
      <w:r w:rsidRPr="009B4557">
        <w:rPr>
          <w:rFonts w:ascii="Times New Roman" w:hAnsi="Times New Roman" w:cs="Times New Roman"/>
          <w:i/>
          <w:color w:val="111111"/>
          <w:shd w:val="clear" w:color="auto" w:fill="FFFFFF"/>
        </w:rPr>
        <w:t>nd Treaty Rights</w:t>
      </w:r>
      <w:r w:rsidRPr="009B4557">
        <w:rPr>
          <w:rFonts w:ascii="Times New Roman" w:hAnsi="Times New Roman" w:cs="Times New Roman"/>
          <w:color w:val="111111"/>
          <w:shd w:val="clear" w:color="auto" w:fill="FFFFFF"/>
        </w:rPr>
        <w:t xml:space="preserve"> </w:t>
      </w:r>
      <w:r w:rsidRPr="00A314BA">
        <w:rPr>
          <w:rFonts w:ascii="Times New Roman" w:hAnsi="Times New Roman" w:cs="Times New Roman"/>
          <w:color w:val="111111"/>
          <w:shd w:val="clear" w:color="auto" w:fill="FFFFFF"/>
        </w:rPr>
        <w:t>(Toronto: University of Toronto Press, 2016)</w:t>
      </w:r>
      <w:r>
        <w:rPr>
          <w:rFonts w:ascii="Times New Roman" w:hAnsi="Times New Roman" w:cs="Times New Roman"/>
          <w:color w:val="111111"/>
          <w:shd w:val="clear" w:color="auto" w:fill="FFFFFF"/>
        </w:rPr>
        <w:t>, 474</w:t>
      </w:r>
      <w:r w:rsidRPr="009B4557">
        <w:rPr>
          <w:rFonts w:ascii="Times New Roman" w:hAnsi="Times New Roman" w:cs="Times New Roman"/>
          <w:color w:val="111111"/>
          <w:shd w:val="clear" w:color="auto" w:fill="FFFFFF"/>
        </w:rPr>
        <w:t xml:space="preserve">; </w:t>
      </w:r>
      <w:r>
        <w:rPr>
          <w:rFonts w:ascii="Times New Roman" w:hAnsi="Times New Roman" w:cs="Times New Roman"/>
          <w:color w:val="111111"/>
          <w:shd w:val="clear" w:color="auto" w:fill="FFFFFF"/>
        </w:rPr>
        <w:t>and</w:t>
      </w:r>
      <w:r w:rsidRPr="009B4557">
        <w:rPr>
          <w:rFonts w:ascii="Times New Roman" w:hAnsi="Times New Roman" w:cs="Times New Roman"/>
          <w:color w:val="111111"/>
          <w:shd w:val="clear" w:color="auto" w:fill="FFFFFF"/>
        </w:rPr>
        <w:t xml:space="preserve"> </w:t>
      </w:r>
      <w:r w:rsidRPr="009B4557">
        <w:rPr>
          <w:rFonts w:ascii="Times New Roman" w:hAnsi="Times New Roman" w:cs="Times New Roman"/>
        </w:rPr>
        <w:t>Vicaire</w:t>
      </w:r>
      <w:r>
        <w:rPr>
          <w:rFonts w:ascii="Times New Roman" w:hAnsi="Times New Roman" w:cs="Times New Roman"/>
        </w:rPr>
        <w:t xml:space="preserve"> </w:t>
      </w:r>
      <w:r>
        <w:rPr>
          <w:rFonts w:ascii="Times New Roman" w:hAnsi="Times New Roman" w:cs="Times New Roman"/>
          <w:i/>
          <w:iCs/>
        </w:rPr>
        <w:t>supra</w:t>
      </w:r>
      <w:r>
        <w:rPr>
          <w:rFonts w:ascii="Times New Roman" w:hAnsi="Times New Roman" w:cs="Times New Roman"/>
        </w:rPr>
        <w:t xml:space="preserve"> note 11</w:t>
      </w:r>
      <w:r w:rsidRPr="009B4557">
        <w:rPr>
          <w:rFonts w:ascii="Times New Roman" w:hAnsi="Times New Roman" w:cs="Times New Roman"/>
        </w:rPr>
        <w:t>.</w:t>
      </w: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26F89" w14:textId="77777777" w:rsidR="00932FA2" w:rsidRDefault="003774CD" w:rsidP="001B2F71">
    <w:pPr>
      <w:pStyle w:val="Header"/>
      <w:jc w:val="center"/>
      <w:rPr>
        <w:rFonts w:ascii="Times New Roman" w:hAnsi="Times New Roman" w:cs="Times New Roman"/>
        <w:color w:val="FF0000"/>
        <w:sz w:val="20"/>
        <w:szCs w:val="24"/>
      </w:rPr>
    </w:pPr>
    <w:r w:rsidRPr="001B2F71">
      <w:rPr>
        <w:rFonts w:ascii="Times New Roman" w:hAnsi="Times New Roman" w:cs="Times New Roman"/>
        <w:color w:val="FF0000"/>
        <w:sz w:val="20"/>
        <w:szCs w:val="24"/>
      </w:rPr>
      <w:t xml:space="preserve">This article is </w:t>
    </w:r>
    <w:r w:rsidR="001B2F71" w:rsidRPr="001B2F71">
      <w:rPr>
        <w:rFonts w:ascii="Times New Roman" w:hAnsi="Times New Roman" w:cs="Times New Roman"/>
        <w:color w:val="FF0000"/>
        <w:sz w:val="20"/>
        <w:szCs w:val="24"/>
      </w:rPr>
      <w:t xml:space="preserve">not yet published.  It will be included in a forthcoming special edition of the </w:t>
    </w:r>
    <w:r w:rsidR="001B2F71" w:rsidRPr="001B2F71">
      <w:rPr>
        <w:rFonts w:ascii="Times New Roman" w:hAnsi="Times New Roman" w:cs="Times New Roman"/>
        <w:i/>
        <w:color w:val="FF0000"/>
        <w:sz w:val="20"/>
        <w:szCs w:val="24"/>
      </w:rPr>
      <w:t>Canadian Native Law Report</w:t>
    </w:r>
    <w:r w:rsidR="00932FA2">
      <w:rPr>
        <w:rFonts w:ascii="Times New Roman" w:hAnsi="Times New Roman" w:cs="Times New Roman"/>
        <w:i/>
        <w:color w:val="FF0000"/>
        <w:sz w:val="20"/>
        <w:szCs w:val="24"/>
      </w:rPr>
      <w:t>er</w:t>
    </w:r>
    <w:r w:rsidR="001B2F71" w:rsidRPr="001B2F71">
      <w:rPr>
        <w:rFonts w:ascii="Times New Roman" w:hAnsi="Times New Roman" w:cs="Times New Roman"/>
        <w:color w:val="FF0000"/>
        <w:sz w:val="20"/>
        <w:szCs w:val="24"/>
      </w:rPr>
      <w:t xml:space="preserve"> this fall</w:t>
    </w:r>
    <w:r w:rsidR="00932FA2">
      <w:rPr>
        <w:rFonts w:ascii="Times New Roman" w:hAnsi="Times New Roman" w:cs="Times New Roman"/>
        <w:color w:val="FF0000"/>
        <w:sz w:val="20"/>
        <w:szCs w:val="24"/>
      </w:rPr>
      <w:t>, entitled “</w:t>
    </w:r>
    <w:r w:rsidR="00932FA2" w:rsidRPr="00932FA2">
      <w:rPr>
        <w:rFonts w:ascii="Times New Roman" w:hAnsi="Times New Roman" w:cs="Times New Roman"/>
        <w:color w:val="FF0000"/>
        <w:sz w:val="20"/>
        <w:szCs w:val="24"/>
      </w:rPr>
      <w:t>Judicial Tales Retold: Reimagining Indigenous Rights Jurisprudence</w:t>
    </w:r>
    <w:r w:rsidR="001B2F71" w:rsidRPr="001B2F71">
      <w:rPr>
        <w:rFonts w:ascii="Times New Roman" w:hAnsi="Times New Roman" w:cs="Times New Roman"/>
        <w:color w:val="FF0000"/>
        <w:sz w:val="20"/>
        <w:szCs w:val="24"/>
      </w:rPr>
      <w:t>.</w:t>
    </w:r>
    <w:r w:rsidR="00932FA2">
      <w:rPr>
        <w:rFonts w:ascii="Times New Roman" w:hAnsi="Times New Roman" w:cs="Times New Roman"/>
        <w:color w:val="FF0000"/>
        <w:sz w:val="20"/>
        <w:szCs w:val="24"/>
      </w:rPr>
      <w:t>”</w:t>
    </w:r>
    <w:r w:rsidR="001B2F71" w:rsidRPr="001B2F71">
      <w:rPr>
        <w:rFonts w:ascii="Times New Roman" w:hAnsi="Times New Roman" w:cs="Times New Roman"/>
        <w:color w:val="FF0000"/>
        <w:sz w:val="20"/>
        <w:szCs w:val="24"/>
      </w:rPr>
      <w:t xml:space="preserve">  </w:t>
    </w:r>
  </w:p>
  <w:p w14:paraId="7C74F22A" w14:textId="561D101B" w:rsidR="00BB06B5" w:rsidRDefault="001B2F71" w:rsidP="001B2F71">
    <w:pPr>
      <w:pStyle w:val="Header"/>
      <w:jc w:val="center"/>
      <w:rPr>
        <w:rFonts w:ascii="Times New Roman" w:hAnsi="Times New Roman" w:cs="Times New Roman"/>
        <w:color w:val="FF0000"/>
        <w:sz w:val="20"/>
        <w:szCs w:val="24"/>
      </w:rPr>
    </w:pPr>
    <w:r w:rsidRPr="001B2F71">
      <w:rPr>
        <w:rFonts w:ascii="Times New Roman" w:hAnsi="Times New Roman" w:cs="Times New Roman"/>
        <w:color w:val="FF0000"/>
        <w:sz w:val="20"/>
        <w:szCs w:val="24"/>
      </w:rPr>
      <w:t>Please do not share without permission of the author.</w:t>
    </w:r>
  </w:p>
  <w:p w14:paraId="33FFB14E" w14:textId="77777777" w:rsidR="002B556C" w:rsidRPr="001B2F71" w:rsidRDefault="002B556C" w:rsidP="001B2F71">
    <w:pPr>
      <w:pStyle w:val="Header"/>
      <w:jc w:val="center"/>
      <w:rPr>
        <w:rFonts w:ascii="Times New Roman" w:hAnsi="Times New Roman" w:cs="Times New Roman"/>
        <w:color w:val="FF0000"/>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D0A"/>
    <w:multiLevelType w:val="hybridMultilevel"/>
    <w:tmpl w:val="7010B3B0"/>
    <w:lvl w:ilvl="0" w:tplc="DC90159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FC654FA"/>
    <w:multiLevelType w:val="hybridMultilevel"/>
    <w:tmpl w:val="56D6B996"/>
    <w:lvl w:ilvl="0" w:tplc="FFFFFFFF">
      <w:start w:val="1"/>
      <w:numFmt w:val="decimal"/>
      <w:pStyle w:val="Heading2"/>
      <w:lvlText w:val="(%1)"/>
      <w:lvlJc w:val="left"/>
      <w:pPr>
        <w:ind w:left="775" w:hanging="360"/>
      </w:p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2" w15:restartNumberingAfterBreak="0">
    <w:nsid w:val="264C73ED"/>
    <w:multiLevelType w:val="hybridMultilevel"/>
    <w:tmpl w:val="296C6BF0"/>
    <w:lvl w:ilvl="0" w:tplc="D5FC9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E712B8"/>
    <w:multiLevelType w:val="hybridMultilevel"/>
    <w:tmpl w:val="F1969D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740A8E"/>
    <w:multiLevelType w:val="hybridMultilevel"/>
    <w:tmpl w:val="4AE0C1A4"/>
    <w:lvl w:ilvl="0" w:tplc="D5FC9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D97359"/>
    <w:multiLevelType w:val="hybridMultilevel"/>
    <w:tmpl w:val="F1ACE3C2"/>
    <w:lvl w:ilvl="0" w:tplc="D5FC9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1C6A27"/>
    <w:multiLevelType w:val="hybridMultilevel"/>
    <w:tmpl w:val="564E6EC2"/>
    <w:lvl w:ilvl="0" w:tplc="D5FC9B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922C9B"/>
    <w:multiLevelType w:val="hybridMultilevel"/>
    <w:tmpl w:val="8804663A"/>
    <w:lvl w:ilvl="0" w:tplc="F38E53CE">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8" w15:restartNumberingAfterBreak="0">
    <w:nsid w:val="4E5023E4"/>
    <w:multiLevelType w:val="hybridMultilevel"/>
    <w:tmpl w:val="C226B5E4"/>
    <w:lvl w:ilvl="0" w:tplc="4F388D28">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531F1BAF"/>
    <w:multiLevelType w:val="hybridMultilevel"/>
    <w:tmpl w:val="8292930C"/>
    <w:lvl w:ilvl="0" w:tplc="BC5EF550">
      <w:start w:val="2"/>
      <w:numFmt w:val="lowerRoman"/>
      <w:lvlText w:val="%1."/>
      <w:lvlJc w:val="left"/>
      <w:pPr>
        <w:ind w:left="216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7561E0"/>
    <w:multiLevelType w:val="hybridMultilevel"/>
    <w:tmpl w:val="21260646"/>
    <w:lvl w:ilvl="0" w:tplc="9502F61A">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1DD6E87"/>
    <w:multiLevelType w:val="hybridMultilevel"/>
    <w:tmpl w:val="347E36E6"/>
    <w:lvl w:ilvl="0" w:tplc="3D147D48">
      <w:start w:val="1"/>
      <w:numFmt w:val="lowerLetter"/>
      <w:pStyle w:val="Heading3"/>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C7B47EA"/>
    <w:multiLevelType w:val="hybridMultilevel"/>
    <w:tmpl w:val="16866000"/>
    <w:lvl w:ilvl="0" w:tplc="43E03F16">
      <w:start w:val="1"/>
      <w:numFmt w:val="decimal"/>
      <w:lvlText w:val="[%1]"/>
      <w:lvlJc w:val="left"/>
      <w:pPr>
        <w:ind w:left="2487" w:hanging="360"/>
      </w:pPr>
      <w:rPr>
        <w:rFonts w:ascii="Times New Roman" w:hAnsi="Times New Roman" w:cs="Times New Roman" w:hint="default"/>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
  </w:num>
  <w:num w:numId="3">
    <w:abstractNumId w:val="11"/>
  </w:num>
  <w:num w:numId="4">
    <w:abstractNumId w:val="11"/>
    <w:lvlOverride w:ilvl="0">
      <w:startOverride w:val="1"/>
    </w:lvlOverride>
  </w:num>
  <w:num w:numId="5">
    <w:abstractNumId w:val="11"/>
    <w:lvlOverride w:ilvl="0">
      <w:startOverride w:val="1"/>
    </w:lvlOverride>
  </w:num>
  <w:num w:numId="6">
    <w:abstractNumId w:val="2"/>
  </w:num>
  <w:num w:numId="7">
    <w:abstractNumId w:val="4"/>
  </w:num>
  <w:num w:numId="8">
    <w:abstractNumId w:val="6"/>
  </w:num>
  <w:num w:numId="9">
    <w:abstractNumId w:val="5"/>
  </w:num>
  <w:num w:numId="10">
    <w:abstractNumId w:val="11"/>
    <w:lvlOverride w:ilvl="0">
      <w:startOverride w:val="1"/>
    </w:lvlOverride>
  </w:num>
  <w:num w:numId="11">
    <w:abstractNumId w:val="3"/>
  </w:num>
  <w:num w:numId="12">
    <w:abstractNumId w:val="0"/>
  </w:num>
  <w:num w:numId="13">
    <w:abstractNumId w:val="7"/>
  </w:num>
  <w:num w:numId="14">
    <w:abstractNumId w:val="9"/>
  </w:num>
  <w:num w:numId="15">
    <w:abstractNumId w:val="8"/>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MLQwMzU3MrcwMjNS0lEKTi0uzszPAykwNq8FAJ2HM9UtAAAA"/>
    <w:docVar w:name="dgnword-docGUID" w:val="{6BB90563-8379-4FB5-9E0F-5E567687B630}"/>
    <w:docVar w:name="dgnword-eventsink" w:val="267260424"/>
  </w:docVars>
  <w:rsids>
    <w:rsidRoot w:val="00AE2395"/>
    <w:rsid w:val="00003A77"/>
    <w:rsid w:val="00003CEA"/>
    <w:rsid w:val="00005925"/>
    <w:rsid w:val="0000600D"/>
    <w:rsid w:val="0001050F"/>
    <w:rsid w:val="00010BB3"/>
    <w:rsid w:val="0001142F"/>
    <w:rsid w:val="00011653"/>
    <w:rsid w:val="00012935"/>
    <w:rsid w:val="000133D2"/>
    <w:rsid w:val="00013F78"/>
    <w:rsid w:val="000141E5"/>
    <w:rsid w:val="000149D0"/>
    <w:rsid w:val="00014BDD"/>
    <w:rsid w:val="000160BB"/>
    <w:rsid w:val="0001613D"/>
    <w:rsid w:val="0001691A"/>
    <w:rsid w:val="0001697A"/>
    <w:rsid w:val="0002061F"/>
    <w:rsid w:val="000209DD"/>
    <w:rsid w:val="0002121E"/>
    <w:rsid w:val="00021661"/>
    <w:rsid w:val="0002194F"/>
    <w:rsid w:val="00021F89"/>
    <w:rsid w:val="0002230F"/>
    <w:rsid w:val="000225E7"/>
    <w:rsid w:val="00022F91"/>
    <w:rsid w:val="0002332B"/>
    <w:rsid w:val="00023438"/>
    <w:rsid w:val="000240F0"/>
    <w:rsid w:val="000241A1"/>
    <w:rsid w:val="00024224"/>
    <w:rsid w:val="00024A8B"/>
    <w:rsid w:val="00025180"/>
    <w:rsid w:val="00025684"/>
    <w:rsid w:val="00026377"/>
    <w:rsid w:val="00026FCD"/>
    <w:rsid w:val="00030D53"/>
    <w:rsid w:val="0003123F"/>
    <w:rsid w:val="00032382"/>
    <w:rsid w:val="00032E31"/>
    <w:rsid w:val="00035AC0"/>
    <w:rsid w:val="00035EC2"/>
    <w:rsid w:val="00040383"/>
    <w:rsid w:val="00040652"/>
    <w:rsid w:val="00040A5E"/>
    <w:rsid w:val="00040B4B"/>
    <w:rsid w:val="00041D4A"/>
    <w:rsid w:val="00042689"/>
    <w:rsid w:val="000430F7"/>
    <w:rsid w:val="000433D9"/>
    <w:rsid w:val="00043E90"/>
    <w:rsid w:val="00045C1D"/>
    <w:rsid w:val="00046670"/>
    <w:rsid w:val="00052DC0"/>
    <w:rsid w:val="00052E4F"/>
    <w:rsid w:val="00053BA4"/>
    <w:rsid w:val="000550A4"/>
    <w:rsid w:val="00055FA3"/>
    <w:rsid w:val="000571A9"/>
    <w:rsid w:val="000574EE"/>
    <w:rsid w:val="00057DB1"/>
    <w:rsid w:val="00060079"/>
    <w:rsid w:val="00061391"/>
    <w:rsid w:val="00062D0A"/>
    <w:rsid w:val="00062DD8"/>
    <w:rsid w:val="00063673"/>
    <w:rsid w:val="0006396C"/>
    <w:rsid w:val="00064C9D"/>
    <w:rsid w:val="00067FD3"/>
    <w:rsid w:val="00072290"/>
    <w:rsid w:val="000723C0"/>
    <w:rsid w:val="0007247F"/>
    <w:rsid w:val="00072712"/>
    <w:rsid w:val="00073D43"/>
    <w:rsid w:val="0007533F"/>
    <w:rsid w:val="000762E8"/>
    <w:rsid w:val="000803DA"/>
    <w:rsid w:val="00080535"/>
    <w:rsid w:val="000809E4"/>
    <w:rsid w:val="00080E8E"/>
    <w:rsid w:val="0008276B"/>
    <w:rsid w:val="00082C61"/>
    <w:rsid w:val="000841F7"/>
    <w:rsid w:val="000842DF"/>
    <w:rsid w:val="0008476A"/>
    <w:rsid w:val="00084BA3"/>
    <w:rsid w:val="00084FDA"/>
    <w:rsid w:val="00085EAC"/>
    <w:rsid w:val="000860C0"/>
    <w:rsid w:val="0008672C"/>
    <w:rsid w:val="00086D12"/>
    <w:rsid w:val="00090EEB"/>
    <w:rsid w:val="00090FA5"/>
    <w:rsid w:val="0009227D"/>
    <w:rsid w:val="000925F4"/>
    <w:rsid w:val="00093C7F"/>
    <w:rsid w:val="000965AB"/>
    <w:rsid w:val="00096849"/>
    <w:rsid w:val="00097D48"/>
    <w:rsid w:val="000A2EB0"/>
    <w:rsid w:val="000A2EC4"/>
    <w:rsid w:val="000A30E3"/>
    <w:rsid w:val="000A3F2C"/>
    <w:rsid w:val="000A53B1"/>
    <w:rsid w:val="000A5F9D"/>
    <w:rsid w:val="000B03A5"/>
    <w:rsid w:val="000B2080"/>
    <w:rsid w:val="000B27CE"/>
    <w:rsid w:val="000B2BC8"/>
    <w:rsid w:val="000B33AD"/>
    <w:rsid w:val="000B3EEA"/>
    <w:rsid w:val="000B3FEB"/>
    <w:rsid w:val="000B4232"/>
    <w:rsid w:val="000C0DB6"/>
    <w:rsid w:val="000C181C"/>
    <w:rsid w:val="000C3584"/>
    <w:rsid w:val="000C39EF"/>
    <w:rsid w:val="000C400E"/>
    <w:rsid w:val="000C4504"/>
    <w:rsid w:val="000C51BF"/>
    <w:rsid w:val="000C5B1F"/>
    <w:rsid w:val="000C5E19"/>
    <w:rsid w:val="000C68B1"/>
    <w:rsid w:val="000D010D"/>
    <w:rsid w:val="000D0CE0"/>
    <w:rsid w:val="000D1210"/>
    <w:rsid w:val="000D124E"/>
    <w:rsid w:val="000D16CD"/>
    <w:rsid w:val="000D1B34"/>
    <w:rsid w:val="000D2090"/>
    <w:rsid w:val="000D30FE"/>
    <w:rsid w:val="000D3555"/>
    <w:rsid w:val="000D3C0B"/>
    <w:rsid w:val="000D4350"/>
    <w:rsid w:val="000D4562"/>
    <w:rsid w:val="000D4906"/>
    <w:rsid w:val="000D502B"/>
    <w:rsid w:val="000D5222"/>
    <w:rsid w:val="000D5FEE"/>
    <w:rsid w:val="000D7617"/>
    <w:rsid w:val="000D79A7"/>
    <w:rsid w:val="000E063D"/>
    <w:rsid w:val="000E19AD"/>
    <w:rsid w:val="000E21AE"/>
    <w:rsid w:val="000E282B"/>
    <w:rsid w:val="000E4A14"/>
    <w:rsid w:val="000E5327"/>
    <w:rsid w:val="000E61FD"/>
    <w:rsid w:val="000F0566"/>
    <w:rsid w:val="000F0B6D"/>
    <w:rsid w:val="000F0C8B"/>
    <w:rsid w:val="000F0DD3"/>
    <w:rsid w:val="000F0E40"/>
    <w:rsid w:val="000F1DF7"/>
    <w:rsid w:val="000F20C5"/>
    <w:rsid w:val="000F2ACC"/>
    <w:rsid w:val="000F302D"/>
    <w:rsid w:val="000F3D56"/>
    <w:rsid w:val="000F4A64"/>
    <w:rsid w:val="000F4AA2"/>
    <w:rsid w:val="000F53D2"/>
    <w:rsid w:val="000F5C04"/>
    <w:rsid w:val="000F6C0D"/>
    <w:rsid w:val="00100D5C"/>
    <w:rsid w:val="00101042"/>
    <w:rsid w:val="001018FD"/>
    <w:rsid w:val="00101C9E"/>
    <w:rsid w:val="00101EB6"/>
    <w:rsid w:val="00102302"/>
    <w:rsid w:val="0010241C"/>
    <w:rsid w:val="001036A1"/>
    <w:rsid w:val="001041F6"/>
    <w:rsid w:val="00104251"/>
    <w:rsid w:val="001047D9"/>
    <w:rsid w:val="00104B48"/>
    <w:rsid w:val="001054D7"/>
    <w:rsid w:val="001055EE"/>
    <w:rsid w:val="00106F77"/>
    <w:rsid w:val="0010726B"/>
    <w:rsid w:val="001112B0"/>
    <w:rsid w:val="00111C58"/>
    <w:rsid w:val="001133BB"/>
    <w:rsid w:val="00113E4B"/>
    <w:rsid w:val="0011409F"/>
    <w:rsid w:val="00114507"/>
    <w:rsid w:val="00115170"/>
    <w:rsid w:val="001152FB"/>
    <w:rsid w:val="0011546E"/>
    <w:rsid w:val="00117169"/>
    <w:rsid w:val="001173F4"/>
    <w:rsid w:val="0011757A"/>
    <w:rsid w:val="00117BE8"/>
    <w:rsid w:val="00117DE9"/>
    <w:rsid w:val="001216F4"/>
    <w:rsid w:val="00121B91"/>
    <w:rsid w:val="001224FA"/>
    <w:rsid w:val="0012279F"/>
    <w:rsid w:val="00122A3D"/>
    <w:rsid w:val="00124A73"/>
    <w:rsid w:val="00126134"/>
    <w:rsid w:val="001268E6"/>
    <w:rsid w:val="00127580"/>
    <w:rsid w:val="0013064C"/>
    <w:rsid w:val="00131D77"/>
    <w:rsid w:val="001329F9"/>
    <w:rsid w:val="00132C87"/>
    <w:rsid w:val="001332B1"/>
    <w:rsid w:val="001349EF"/>
    <w:rsid w:val="00134FDB"/>
    <w:rsid w:val="00135E4F"/>
    <w:rsid w:val="00136B94"/>
    <w:rsid w:val="00136BCE"/>
    <w:rsid w:val="00137467"/>
    <w:rsid w:val="0014126C"/>
    <w:rsid w:val="00142762"/>
    <w:rsid w:val="00142FF2"/>
    <w:rsid w:val="00143196"/>
    <w:rsid w:val="00143A38"/>
    <w:rsid w:val="00143A4D"/>
    <w:rsid w:val="00143AF0"/>
    <w:rsid w:val="00143DE5"/>
    <w:rsid w:val="00145064"/>
    <w:rsid w:val="00146221"/>
    <w:rsid w:val="001500C9"/>
    <w:rsid w:val="00150BFF"/>
    <w:rsid w:val="00151B5E"/>
    <w:rsid w:val="00151C7E"/>
    <w:rsid w:val="001522DA"/>
    <w:rsid w:val="00157827"/>
    <w:rsid w:val="00157B95"/>
    <w:rsid w:val="00160532"/>
    <w:rsid w:val="00160B0C"/>
    <w:rsid w:val="00161011"/>
    <w:rsid w:val="00163B04"/>
    <w:rsid w:val="00164D2F"/>
    <w:rsid w:val="00164E5D"/>
    <w:rsid w:val="00166670"/>
    <w:rsid w:val="00166CA6"/>
    <w:rsid w:val="00167068"/>
    <w:rsid w:val="00167A79"/>
    <w:rsid w:val="001715CC"/>
    <w:rsid w:val="0017279E"/>
    <w:rsid w:val="00172FF4"/>
    <w:rsid w:val="00173748"/>
    <w:rsid w:val="00174E7A"/>
    <w:rsid w:val="00175EEF"/>
    <w:rsid w:val="00176771"/>
    <w:rsid w:val="00177B3C"/>
    <w:rsid w:val="00182E05"/>
    <w:rsid w:val="00182E67"/>
    <w:rsid w:val="001843EC"/>
    <w:rsid w:val="00184636"/>
    <w:rsid w:val="00184A8D"/>
    <w:rsid w:val="00184F53"/>
    <w:rsid w:val="00185384"/>
    <w:rsid w:val="00185BC2"/>
    <w:rsid w:val="0018697E"/>
    <w:rsid w:val="001869E7"/>
    <w:rsid w:val="00186E73"/>
    <w:rsid w:val="0018778C"/>
    <w:rsid w:val="0019000C"/>
    <w:rsid w:val="00190977"/>
    <w:rsid w:val="00193EE7"/>
    <w:rsid w:val="001942AD"/>
    <w:rsid w:val="00194545"/>
    <w:rsid w:val="001973DA"/>
    <w:rsid w:val="001A025D"/>
    <w:rsid w:val="001A11E1"/>
    <w:rsid w:val="001A1BF2"/>
    <w:rsid w:val="001A30A0"/>
    <w:rsid w:val="001A4930"/>
    <w:rsid w:val="001A49B8"/>
    <w:rsid w:val="001A4B95"/>
    <w:rsid w:val="001A542A"/>
    <w:rsid w:val="001A5976"/>
    <w:rsid w:val="001A61F4"/>
    <w:rsid w:val="001A64E8"/>
    <w:rsid w:val="001A726C"/>
    <w:rsid w:val="001A7D64"/>
    <w:rsid w:val="001A7FC3"/>
    <w:rsid w:val="001B0531"/>
    <w:rsid w:val="001B0A47"/>
    <w:rsid w:val="001B1615"/>
    <w:rsid w:val="001B1AD9"/>
    <w:rsid w:val="001B22B7"/>
    <w:rsid w:val="001B25AF"/>
    <w:rsid w:val="001B275E"/>
    <w:rsid w:val="001B2908"/>
    <w:rsid w:val="001B2F71"/>
    <w:rsid w:val="001B3160"/>
    <w:rsid w:val="001B4274"/>
    <w:rsid w:val="001B5F4D"/>
    <w:rsid w:val="001B6EF5"/>
    <w:rsid w:val="001B73E5"/>
    <w:rsid w:val="001C061F"/>
    <w:rsid w:val="001C0813"/>
    <w:rsid w:val="001C0AD5"/>
    <w:rsid w:val="001C1894"/>
    <w:rsid w:val="001C18BF"/>
    <w:rsid w:val="001C1D4E"/>
    <w:rsid w:val="001C2664"/>
    <w:rsid w:val="001C28BB"/>
    <w:rsid w:val="001C51DB"/>
    <w:rsid w:val="001C5AF2"/>
    <w:rsid w:val="001C6531"/>
    <w:rsid w:val="001C7C8C"/>
    <w:rsid w:val="001D088C"/>
    <w:rsid w:val="001D1300"/>
    <w:rsid w:val="001D22E2"/>
    <w:rsid w:val="001D2A3B"/>
    <w:rsid w:val="001D32D3"/>
    <w:rsid w:val="001D32F9"/>
    <w:rsid w:val="001D3756"/>
    <w:rsid w:val="001D3BAD"/>
    <w:rsid w:val="001D4A9B"/>
    <w:rsid w:val="001D4B5A"/>
    <w:rsid w:val="001D5C7A"/>
    <w:rsid w:val="001D60AE"/>
    <w:rsid w:val="001D63C6"/>
    <w:rsid w:val="001E12E5"/>
    <w:rsid w:val="001E18D7"/>
    <w:rsid w:val="001E1E38"/>
    <w:rsid w:val="001E2125"/>
    <w:rsid w:val="001E27B6"/>
    <w:rsid w:val="001E29B2"/>
    <w:rsid w:val="001E2C68"/>
    <w:rsid w:val="001E404F"/>
    <w:rsid w:val="001E439C"/>
    <w:rsid w:val="001E4A5E"/>
    <w:rsid w:val="001E4F36"/>
    <w:rsid w:val="001E55AE"/>
    <w:rsid w:val="001E5CE5"/>
    <w:rsid w:val="001E66A4"/>
    <w:rsid w:val="001E6C82"/>
    <w:rsid w:val="001E71BD"/>
    <w:rsid w:val="001E7C14"/>
    <w:rsid w:val="001F1141"/>
    <w:rsid w:val="001F164D"/>
    <w:rsid w:val="001F3747"/>
    <w:rsid w:val="001F4325"/>
    <w:rsid w:val="001F44AD"/>
    <w:rsid w:val="001F56A4"/>
    <w:rsid w:val="001F6E41"/>
    <w:rsid w:val="002003B6"/>
    <w:rsid w:val="00200707"/>
    <w:rsid w:val="00200899"/>
    <w:rsid w:val="0020184A"/>
    <w:rsid w:val="00202897"/>
    <w:rsid w:val="0020310C"/>
    <w:rsid w:val="00205990"/>
    <w:rsid w:val="00207222"/>
    <w:rsid w:val="00210139"/>
    <w:rsid w:val="0021086E"/>
    <w:rsid w:val="00210E17"/>
    <w:rsid w:val="00212412"/>
    <w:rsid w:val="00212649"/>
    <w:rsid w:val="00212BF9"/>
    <w:rsid w:val="00213064"/>
    <w:rsid w:val="002156DE"/>
    <w:rsid w:val="00215C24"/>
    <w:rsid w:val="00216A70"/>
    <w:rsid w:val="00217DA6"/>
    <w:rsid w:val="00220072"/>
    <w:rsid w:val="002207B7"/>
    <w:rsid w:val="00220D60"/>
    <w:rsid w:val="00220EB4"/>
    <w:rsid w:val="00220FA8"/>
    <w:rsid w:val="002232C5"/>
    <w:rsid w:val="00223462"/>
    <w:rsid w:val="00223479"/>
    <w:rsid w:val="002238F3"/>
    <w:rsid w:val="00223D64"/>
    <w:rsid w:val="002242CB"/>
    <w:rsid w:val="002253F6"/>
    <w:rsid w:val="00226F09"/>
    <w:rsid w:val="002303F5"/>
    <w:rsid w:val="00230CAF"/>
    <w:rsid w:val="00231134"/>
    <w:rsid w:val="00231711"/>
    <w:rsid w:val="0023198F"/>
    <w:rsid w:val="00232191"/>
    <w:rsid w:val="00232277"/>
    <w:rsid w:val="002322FD"/>
    <w:rsid w:val="00232971"/>
    <w:rsid w:val="00232C06"/>
    <w:rsid w:val="002335AE"/>
    <w:rsid w:val="00233784"/>
    <w:rsid w:val="00233B32"/>
    <w:rsid w:val="00233BDF"/>
    <w:rsid w:val="002345F3"/>
    <w:rsid w:val="00234CF8"/>
    <w:rsid w:val="00235242"/>
    <w:rsid w:val="00235974"/>
    <w:rsid w:val="0023661D"/>
    <w:rsid w:val="00237478"/>
    <w:rsid w:val="00237A7F"/>
    <w:rsid w:val="002409AD"/>
    <w:rsid w:val="0024221C"/>
    <w:rsid w:val="00242F59"/>
    <w:rsid w:val="00242FD8"/>
    <w:rsid w:val="002434C3"/>
    <w:rsid w:val="00244701"/>
    <w:rsid w:val="00244CA0"/>
    <w:rsid w:val="00244CA8"/>
    <w:rsid w:val="00245217"/>
    <w:rsid w:val="00245F1A"/>
    <w:rsid w:val="0024683F"/>
    <w:rsid w:val="00246FBF"/>
    <w:rsid w:val="00246FF8"/>
    <w:rsid w:val="00250258"/>
    <w:rsid w:val="00250722"/>
    <w:rsid w:val="00250C63"/>
    <w:rsid w:val="0025178B"/>
    <w:rsid w:val="00251F9B"/>
    <w:rsid w:val="00252005"/>
    <w:rsid w:val="00252538"/>
    <w:rsid w:val="00252C90"/>
    <w:rsid w:val="002536C8"/>
    <w:rsid w:val="0025393A"/>
    <w:rsid w:val="0025496F"/>
    <w:rsid w:val="0025570B"/>
    <w:rsid w:val="002570BB"/>
    <w:rsid w:val="00260490"/>
    <w:rsid w:val="00260850"/>
    <w:rsid w:val="00261C88"/>
    <w:rsid w:val="00262C8F"/>
    <w:rsid w:val="00263DBC"/>
    <w:rsid w:val="00264E14"/>
    <w:rsid w:val="0026550C"/>
    <w:rsid w:val="0026632B"/>
    <w:rsid w:val="002666F4"/>
    <w:rsid w:val="00267B85"/>
    <w:rsid w:val="00267C7E"/>
    <w:rsid w:val="002704E1"/>
    <w:rsid w:val="00271B44"/>
    <w:rsid w:val="0027276E"/>
    <w:rsid w:val="00272E44"/>
    <w:rsid w:val="0027306F"/>
    <w:rsid w:val="0027318C"/>
    <w:rsid w:val="00273310"/>
    <w:rsid w:val="00273FC0"/>
    <w:rsid w:val="0027472F"/>
    <w:rsid w:val="002758D5"/>
    <w:rsid w:val="00275FDD"/>
    <w:rsid w:val="002770B3"/>
    <w:rsid w:val="00280D29"/>
    <w:rsid w:val="00280ED5"/>
    <w:rsid w:val="00282F29"/>
    <w:rsid w:val="00283EA4"/>
    <w:rsid w:val="00284792"/>
    <w:rsid w:val="0029044B"/>
    <w:rsid w:val="002914B5"/>
    <w:rsid w:val="00291BED"/>
    <w:rsid w:val="00293076"/>
    <w:rsid w:val="00293D9E"/>
    <w:rsid w:val="0029404A"/>
    <w:rsid w:val="00294370"/>
    <w:rsid w:val="00294DAC"/>
    <w:rsid w:val="00294DBA"/>
    <w:rsid w:val="00295E16"/>
    <w:rsid w:val="00296991"/>
    <w:rsid w:val="00296C88"/>
    <w:rsid w:val="002972D0"/>
    <w:rsid w:val="00297998"/>
    <w:rsid w:val="002A0A51"/>
    <w:rsid w:val="002A1E1F"/>
    <w:rsid w:val="002A2096"/>
    <w:rsid w:val="002A3274"/>
    <w:rsid w:val="002A3C18"/>
    <w:rsid w:val="002A4172"/>
    <w:rsid w:val="002A5627"/>
    <w:rsid w:val="002A5FF3"/>
    <w:rsid w:val="002A641A"/>
    <w:rsid w:val="002A6930"/>
    <w:rsid w:val="002A6D35"/>
    <w:rsid w:val="002B0D0C"/>
    <w:rsid w:val="002B175B"/>
    <w:rsid w:val="002B2029"/>
    <w:rsid w:val="002B309B"/>
    <w:rsid w:val="002B3205"/>
    <w:rsid w:val="002B329A"/>
    <w:rsid w:val="002B3FA5"/>
    <w:rsid w:val="002B4063"/>
    <w:rsid w:val="002B4EFE"/>
    <w:rsid w:val="002B541C"/>
    <w:rsid w:val="002B556C"/>
    <w:rsid w:val="002B6DC1"/>
    <w:rsid w:val="002B7393"/>
    <w:rsid w:val="002B75EF"/>
    <w:rsid w:val="002C0308"/>
    <w:rsid w:val="002C14A3"/>
    <w:rsid w:val="002C1A0A"/>
    <w:rsid w:val="002C1E65"/>
    <w:rsid w:val="002C220A"/>
    <w:rsid w:val="002C2581"/>
    <w:rsid w:val="002C2959"/>
    <w:rsid w:val="002C2B38"/>
    <w:rsid w:val="002C3B72"/>
    <w:rsid w:val="002C3DC6"/>
    <w:rsid w:val="002C4799"/>
    <w:rsid w:val="002C5523"/>
    <w:rsid w:val="002C704E"/>
    <w:rsid w:val="002C70B0"/>
    <w:rsid w:val="002C7BBB"/>
    <w:rsid w:val="002D096C"/>
    <w:rsid w:val="002D4104"/>
    <w:rsid w:val="002D47B2"/>
    <w:rsid w:val="002D4937"/>
    <w:rsid w:val="002D5719"/>
    <w:rsid w:val="002D5736"/>
    <w:rsid w:val="002D5BFE"/>
    <w:rsid w:val="002D68EC"/>
    <w:rsid w:val="002D6E17"/>
    <w:rsid w:val="002D7217"/>
    <w:rsid w:val="002D732A"/>
    <w:rsid w:val="002D79E2"/>
    <w:rsid w:val="002E0362"/>
    <w:rsid w:val="002E150A"/>
    <w:rsid w:val="002E1BED"/>
    <w:rsid w:val="002E271F"/>
    <w:rsid w:val="002E2A25"/>
    <w:rsid w:val="002E391F"/>
    <w:rsid w:val="002E5ED6"/>
    <w:rsid w:val="002E72AE"/>
    <w:rsid w:val="002E7B5E"/>
    <w:rsid w:val="002E7C91"/>
    <w:rsid w:val="002E7CA2"/>
    <w:rsid w:val="002F0698"/>
    <w:rsid w:val="002F191E"/>
    <w:rsid w:val="002F1D87"/>
    <w:rsid w:val="002F2B57"/>
    <w:rsid w:val="002F2DEE"/>
    <w:rsid w:val="002F2E67"/>
    <w:rsid w:val="002F3160"/>
    <w:rsid w:val="002F3BB7"/>
    <w:rsid w:val="002F3C00"/>
    <w:rsid w:val="002F563A"/>
    <w:rsid w:val="002F593E"/>
    <w:rsid w:val="002F6DE9"/>
    <w:rsid w:val="002F6E3A"/>
    <w:rsid w:val="003003AC"/>
    <w:rsid w:val="00301500"/>
    <w:rsid w:val="003018F9"/>
    <w:rsid w:val="00301C01"/>
    <w:rsid w:val="00301EB6"/>
    <w:rsid w:val="00302872"/>
    <w:rsid w:val="00303581"/>
    <w:rsid w:val="00303C8F"/>
    <w:rsid w:val="00305BC3"/>
    <w:rsid w:val="00307F5D"/>
    <w:rsid w:val="00310709"/>
    <w:rsid w:val="003118B7"/>
    <w:rsid w:val="00311A28"/>
    <w:rsid w:val="00311A8D"/>
    <w:rsid w:val="00311C8F"/>
    <w:rsid w:val="0031258E"/>
    <w:rsid w:val="00312860"/>
    <w:rsid w:val="00312A16"/>
    <w:rsid w:val="00312A92"/>
    <w:rsid w:val="00312B35"/>
    <w:rsid w:val="00313C56"/>
    <w:rsid w:val="00313CD5"/>
    <w:rsid w:val="00314AA4"/>
    <w:rsid w:val="00316123"/>
    <w:rsid w:val="003163C4"/>
    <w:rsid w:val="00316EA4"/>
    <w:rsid w:val="0031794B"/>
    <w:rsid w:val="00320E1B"/>
    <w:rsid w:val="00321377"/>
    <w:rsid w:val="00321C69"/>
    <w:rsid w:val="0032329C"/>
    <w:rsid w:val="00326A63"/>
    <w:rsid w:val="0032776E"/>
    <w:rsid w:val="00330E81"/>
    <w:rsid w:val="003310D2"/>
    <w:rsid w:val="0033354B"/>
    <w:rsid w:val="00333A4C"/>
    <w:rsid w:val="00335727"/>
    <w:rsid w:val="00337975"/>
    <w:rsid w:val="00337F7A"/>
    <w:rsid w:val="00340B34"/>
    <w:rsid w:val="003412C9"/>
    <w:rsid w:val="00341501"/>
    <w:rsid w:val="00341536"/>
    <w:rsid w:val="00341EFC"/>
    <w:rsid w:val="003427BE"/>
    <w:rsid w:val="00342A25"/>
    <w:rsid w:val="00343203"/>
    <w:rsid w:val="00343926"/>
    <w:rsid w:val="00344A13"/>
    <w:rsid w:val="00344AF3"/>
    <w:rsid w:val="003457D6"/>
    <w:rsid w:val="00346762"/>
    <w:rsid w:val="00347553"/>
    <w:rsid w:val="00347874"/>
    <w:rsid w:val="003503AB"/>
    <w:rsid w:val="003505C3"/>
    <w:rsid w:val="00351532"/>
    <w:rsid w:val="003527AF"/>
    <w:rsid w:val="00352EC8"/>
    <w:rsid w:val="00353ADF"/>
    <w:rsid w:val="00353B6D"/>
    <w:rsid w:val="00354A94"/>
    <w:rsid w:val="003560C6"/>
    <w:rsid w:val="003602E7"/>
    <w:rsid w:val="00361FE3"/>
    <w:rsid w:val="0036350A"/>
    <w:rsid w:val="00365027"/>
    <w:rsid w:val="00367AD1"/>
    <w:rsid w:val="00370191"/>
    <w:rsid w:val="00371DCB"/>
    <w:rsid w:val="00372394"/>
    <w:rsid w:val="00372E1F"/>
    <w:rsid w:val="003731F1"/>
    <w:rsid w:val="003735D2"/>
    <w:rsid w:val="00373A04"/>
    <w:rsid w:val="00374DF6"/>
    <w:rsid w:val="00375068"/>
    <w:rsid w:val="003753DA"/>
    <w:rsid w:val="00375D2F"/>
    <w:rsid w:val="00376564"/>
    <w:rsid w:val="003765AC"/>
    <w:rsid w:val="00376881"/>
    <w:rsid w:val="003774CD"/>
    <w:rsid w:val="00377C39"/>
    <w:rsid w:val="003817CD"/>
    <w:rsid w:val="00381962"/>
    <w:rsid w:val="00382237"/>
    <w:rsid w:val="00382658"/>
    <w:rsid w:val="00382663"/>
    <w:rsid w:val="00383499"/>
    <w:rsid w:val="003842C2"/>
    <w:rsid w:val="00384C66"/>
    <w:rsid w:val="00384D6C"/>
    <w:rsid w:val="0038693C"/>
    <w:rsid w:val="00386E3C"/>
    <w:rsid w:val="00387BC8"/>
    <w:rsid w:val="003915E1"/>
    <w:rsid w:val="003915E5"/>
    <w:rsid w:val="00392F24"/>
    <w:rsid w:val="003949E9"/>
    <w:rsid w:val="00394E88"/>
    <w:rsid w:val="00395C17"/>
    <w:rsid w:val="00396769"/>
    <w:rsid w:val="00397E0B"/>
    <w:rsid w:val="003A1156"/>
    <w:rsid w:val="003A20B7"/>
    <w:rsid w:val="003A2CDD"/>
    <w:rsid w:val="003A4C5F"/>
    <w:rsid w:val="003A6944"/>
    <w:rsid w:val="003B1ECE"/>
    <w:rsid w:val="003B25B0"/>
    <w:rsid w:val="003B2FFC"/>
    <w:rsid w:val="003B388F"/>
    <w:rsid w:val="003B3A77"/>
    <w:rsid w:val="003B4AB5"/>
    <w:rsid w:val="003B522C"/>
    <w:rsid w:val="003B596C"/>
    <w:rsid w:val="003B635E"/>
    <w:rsid w:val="003B7C3D"/>
    <w:rsid w:val="003C04AA"/>
    <w:rsid w:val="003C0AEE"/>
    <w:rsid w:val="003C18B2"/>
    <w:rsid w:val="003C1944"/>
    <w:rsid w:val="003C1AFF"/>
    <w:rsid w:val="003C1F08"/>
    <w:rsid w:val="003C36A8"/>
    <w:rsid w:val="003C42CE"/>
    <w:rsid w:val="003C4680"/>
    <w:rsid w:val="003C4A5D"/>
    <w:rsid w:val="003C4BC0"/>
    <w:rsid w:val="003C5344"/>
    <w:rsid w:val="003C5CC4"/>
    <w:rsid w:val="003D2766"/>
    <w:rsid w:val="003D2C7C"/>
    <w:rsid w:val="003D45B8"/>
    <w:rsid w:val="003D4887"/>
    <w:rsid w:val="003D4EA1"/>
    <w:rsid w:val="003D6510"/>
    <w:rsid w:val="003E0B0F"/>
    <w:rsid w:val="003E1894"/>
    <w:rsid w:val="003E1B68"/>
    <w:rsid w:val="003E1F78"/>
    <w:rsid w:val="003E2379"/>
    <w:rsid w:val="003E2943"/>
    <w:rsid w:val="003E2F3C"/>
    <w:rsid w:val="003E33F2"/>
    <w:rsid w:val="003E407A"/>
    <w:rsid w:val="003E42A9"/>
    <w:rsid w:val="003E51FF"/>
    <w:rsid w:val="003E5748"/>
    <w:rsid w:val="003E5824"/>
    <w:rsid w:val="003E6050"/>
    <w:rsid w:val="003E6B54"/>
    <w:rsid w:val="003E771C"/>
    <w:rsid w:val="003E7F3A"/>
    <w:rsid w:val="003F0E72"/>
    <w:rsid w:val="003F1939"/>
    <w:rsid w:val="003F1C93"/>
    <w:rsid w:val="003F2499"/>
    <w:rsid w:val="003F251B"/>
    <w:rsid w:val="003F400A"/>
    <w:rsid w:val="003F4BE3"/>
    <w:rsid w:val="003F5E9E"/>
    <w:rsid w:val="003F6FA6"/>
    <w:rsid w:val="003F74B6"/>
    <w:rsid w:val="00400850"/>
    <w:rsid w:val="0040150D"/>
    <w:rsid w:val="004028A9"/>
    <w:rsid w:val="00403F39"/>
    <w:rsid w:val="00403FB6"/>
    <w:rsid w:val="00404480"/>
    <w:rsid w:val="0040495D"/>
    <w:rsid w:val="00407072"/>
    <w:rsid w:val="0040715E"/>
    <w:rsid w:val="00407819"/>
    <w:rsid w:val="00410890"/>
    <w:rsid w:val="00410B12"/>
    <w:rsid w:val="00410D7C"/>
    <w:rsid w:val="00412CE8"/>
    <w:rsid w:val="004136E7"/>
    <w:rsid w:val="0041618C"/>
    <w:rsid w:val="0041636F"/>
    <w:rsid w:val="0041652D"/>
    <w:rsid w:val="0041790B"/>
    <w:rsid w:val="00417C43"/>
    <w:rsid w:val="00417D64"/>
    <w:rsid w:val="0042008B"/>
    <w:rsid w:val="00420ACA"/>
    <w:rsid w:val="00420C6A"/>
    <w:rsid w:val="00421970"/>
    <w:rsid w:val="00421BB9"/>
    <w:rsid w:val="00422580"/>
    <w:rsid w:val="00423746"/>
    <w:rsid w:val="00423994"/>
    <w:rsid w:val="00425E80"/>
    <w:rsid w:val="00426482"/>
    <w:rsid w:val="004277CB"/>
    <w:rsid w:val="004279C4"/>
    <w:rsid w:val="00427AB9"/>
    <w:rsid w:val="0043089C"/>
    <w:rsid w:val="00431D68"/>
    <w:rsid w:val="00431E11"/>
    <w:rsid w:val="00433536"/>
    <w:rsid w:val="004342AD"/>
    <w:rsid w:val="00434CA0"/>
    <w:rsid w:val="0043501C"/>
    <w:rsid w:val="00436EE7"/>
    <w:rsid w:val="00437167"/>
    <w:rsid w:val="00437879"/>
    <w:rsid w:val="00437D9D"/>
    <w:rsid w:val="00440044"/>
    <w:rsid w:val="004412F3"/>
    <w:rsid w:val="00441CAB"/>
    <w:rsid w:val="00441FB5"/>
    <w:rsid w:val="004420E6"/>
    <w:rsid w:val="00442C38"/>
    <w:rsid w:val="00444F19"/>
    <w:rsid w:val="004460CD"/>
    <w:rsid w:val="004469C4"/>
    <w:rsid w:val="004476E5"/>
    <w:rsid w:val="0045088D"/>
    <w:rsid w:val="00450B95"/>
    <w:rsid w:val="004517ED"/>
    <w:rsid w:val="0045269B"/>
    <w:rsid w:val="00452EB0"/>
    <w:rsid w:val="00454640"/>
    <w:rsid w:val="004547DD"/>
    <w:rsid w:val="004565BE"/>
    <w:rsid w:val="004570A2"/>
    <w:rsid w:val="00457BFF"/>
    <w:rsid w:val="004625A4"/>
    <w:rsid w:val="00463015"/>
    <w:rsid w:val="00463145"/>
    <w:rsid w:val="004632DF"/>
    <w:rsid w:val="004636A8"/>
    <w:rsid w:val="00463B0C"/>
    <w:rsid w:val="00466111"/>
    <w:rsid w:val="00466B6F"/>
    <w:rsid w:val="004670AE"/>
    <w:rsid w:val="0046778F"/>
    <w:rsid w:val="004703A1"/>
    <w:rsid w:val="00470469"/>
    <w:rsid w:val="00470635"/>
    <w:rsid w:val="00470824"/>
    <w:rsid w:val="00471265"/>
    <w:rsid w:val="00472445"/>
    <w:rsid w:val="00473269"/>
    <w:rsid w:val="00473C8B"/>
    <w:rsid w:val="00474096"/>
    <w:rsid w:val="004750CA"/>
    <w:rsid w:val="00476110"/>
    <w:rsid w:val="00476B6C"/>
    <w:rsid w:val="004815D8"/>
    <w:rsid w:val="00481DE7"/>
    <w:rsid w:val="00484CEE"/>
    <w:rsid w:val="00485EC0"/>
    <w:rsid w:val="0048789A"/>
    <w:rsid w:val="004878CA"/>
    <w:rsid w:val="00487F8E"/>
    <w:rsid w:val="0049017C"/>
    <w:rsid w:val="00491BA4"/>
    <w:rsid w:val="00491F92"/>
    <w:rsid w:val="004921B6"/>
    <w:rsid w:val="00492531"/>
    <w:rsid w:val="004925F7"/>
    <w:rsid w:val="0049322F"/>
    <w:rsid w:val="00493265"/>
    <w:rsid w:val="004934A7"/>
    <w:rsid w:val="0049364D"/>
    <w:rsid w:val="0049365E"/>
    <w:rsid w:val="00493D28"/>
    <w:rsid w:val="00494AAC"/>
    <w:rsid w:val="00494C37"/>
    <w:rsid w:val="00494EED"/>
    <w:rsid w:val="00497077"/>
    <w:rsid w:val="004A137C"/>
    <w:rsid w:val="004A1A93"/>
    <w:rsid w:val="004A1CDB"/>
    <w:rsid w:val="004A223A"/>
    <w:rsid w:val="004A586D"/>
    <w:rsid w:val="004A786D"/>
    <w:rsid w:val="004A7EBD"/>
    <w:rsid w:val="004B186A"/>
    <w:rsid w:val="004B2CB3"/>
    <w:rsid w:val="004B3637"/>
    <w:rsid w:val="004B42DB"/>
    <w:rsid w:val="004B4FA6"/>
    <w:rsid w:val="004B621A"/>
    <w:rsid w:val="004B68D5"/>
    <w:rsid w:val="004B6D22"/>
    <w:rsid w:val="004B7E47"/>
    <w:rsid w:val="004B7F27"/>
    <w:rsid w:val="004B7FA9"/>
    <w:rsid w:val="004C13D6"/>
    <w:rsid w:val="004C1E01"/>
    <w:rsid w:val="004C2BEC"/>
    <w:rsid w:val="004C33E2"/>
    <w:rsid w:val="004C38B8"/>
    <w:rsid w:val="004C6C36"/>
    <w:rsid w:val="004C70A7"/>
    <w:rsid w:val="004C7DA7"/>
    <w:rsid w:val="004C7F52"/>
    <w:rsid w:val="004D08B8"/>
    <w:rsid w:val="004D0B47"/>
    <w:rsid w:val="004D1515"/>
    <w:rsid w:val="004D28B7"/>
    <w:rsid w:val="004D2C09"/>
    <w:rsid w:val="004D4A95"/>
    <w:rsid w:val="004D4ADC"/>
    <w:rsid w:val="004D4BDE"/>
    <w:rsid w:val="004D521F"/>
    <w:rsid w:val="004D5882"/>
    <w:rsid w:val="004D5C91"/>
    <w:rsid w:val="004D6392"/>
    <w:rsid w:val="004D643B"/>
    <w:rsid w:val="004D66EE"/>
    <w:rsid w:val="004D7BA0"/>
    <w:rsid w:val="004D7C3E"/>
    <w:rsid w:val="004D7C98"/>
    <w:rsid w:val="004D7E33"/>
    <w:rsid w:val="004D7EB6"/>
    <w:rsid w:val="004E1530"/>
    <w:rsid w:val="004E1611"/>
    <w:rsid w:val="004E1DB1"/>
    <w:rsid w:val="004E2E9D"/>
    <w:rsid w:val="004E4034"/>
    <w:rsid w:val="004E4945"/>
    <w:rsid w:val="004E514F"/>
    <w:rsid w:val="004E5B2A"/>
    <w:rsid w:val="004E5E5B"/>
    <w:rsid w:val="004E63B6"/>
    <w:rsid w:val="004E68A1"/>
    <w:rsid w:val="004E7050"/>
    <w:rsid w:val="004E7110"/>
    <w:rsid w:val="004E723B"/>
    <w:rsid w:val="004E7BAA"/>
    <w:rsid w:val="004F09C3"/>
    <w:rsid w:val="004F1475"/>
    <w:rsid w:val="004F1FDE"/>
    <w:rsid w:val="004F2A56"/>
    <w:rsid w:val="004F33AA"/>
    <w:rsid w:val="004F3B59"/>
    <w:rsid w:val="004F4D32"/>
    <w:rsid w:val="004F5208"/>
    <w:rsid w:val="004F6864"/>
    <w:rsid w:val="004F72F1"/>
    <w:rsid w:val="00500471"/>
    <w:rsid w:val="0050061C"/>
    <w:rsid w:val="005017C4"/>
    <w:rsid w:val="005021E9"/>
    <w:rsid w:val="00502487"/>
    <w:rsid w:val="00502BA9"/>
    <w:rsid w:val="00503A17"/>
    <w:rsid w:val="0050442A"/>
    <w:rsid w:val="00504D57"/>
    <w:rsid w:val="00504F9E"/>
    <w:rsid w:val="005055C6"/>
    <w:rsid w:val="0050573E"/>
    <w:rsid w:val="00507668"/>
    <w:rsid w:val="00507764"/>
    <w:rsid w:val="00507E40"/>
    <w:rsid w:val="00507EF9"/>
    <w:rsid w:val="0051160F"/>
    <w:rsid w:val="005117EE"/>
    <w:rsid w:val="00511A06"/>
    <w:rsid w:val="00512199"/>
    <w:rsid w:val="005127D9"/>
    <w:rsid w:val="00512C15"/>
    <w:rsid w:val="005133C9"/>
    <w:rsid w:val="00513668"/>
    <w:rsid w:val="00513F06"/>
    <w:rsid w:val="00515DF3"/>
    <w:rsid w:val="0051658E"/>
    <w:rsid w:val="00516F9A"/>
    <w:rsid w:val="0051734E"/>
    <w:rsid w:val="00517CE0"/>
    <w:rsid w:val="0052095B"/>
    <w:rsid w:val="005209DD"/>
    <w:rsid w:val="00520AD0"/>
    <w:rsid w:val="005211BA"/>
    <w:rsid w:val="005217FF"/>
    <w:rsid w:val="00522111"/>
    <w:rsid w:val="00522C23"/>
    <w:rsid w:val="00522E27"/>
    <w:rsid w:val="0052463F"/>
    <w:rsid w:val="00527D26"/>
    <w:rsid w:val="00527F22"/>
    <w:rsid w:val="005307E6"/>
    <w:rsid w:val="00530ABA"/>
    <w:rsid w:val="00530C02"/>
    <w:rsid w:val="005316BD"/>
    <w:rsid w:val="00531D20"/>
    <w:rsid w:val="00532AD9"/>
    <w:rsid w:val="0053355E"/>
    <w:rsid w:val="00535188"/>
    <w:rsid w:val="00536FCA"/>
    <w:rsid w:val="005407AA"/>
    <w:rsid w:val="00540EB4"/>
    <w:rsid w:val="00541954"/>
    <w:rsid w:val="00542983"/>
    <w:rsid w:val="00542A15"/>
    <w:rsid w:val="00542AD9"/>
    <w:rsid w:val="005435FF"/>
    <w:rsid w:val="00543DD6"/>
    <w:rsid w:val="00543E20"/>
    <w:rsid w:val="00545296"/>
    <w:rsid w:val="005464AC"/>
    <w:rsid w:val="005477A3"/>
    <w:rsid w:val="00547ECF"/>
    <w:rsid w:val="00547F16"/>
    <w:rsid w:val="00550F24"/>
    <w:rsid w:val="00550F46"/>
    <w:rsid w:val="00551089"/>
    <w:rsid w:val="00551CF9"/>
    <w:rsid w:val="00552A52"/>
    <w:rsid w:val="00554213"/>
    <w:rsid w:val="00554B3A"/>
    <w:rsid w:val="00555D71"/>
    <w:rsid w:val="005573FE"/>
    <w:rsid w:val="00560631"/>
    <w:rsid w:val="00560A38"/>
    <w:rsid w:val="005619F7"/>
    <w:rsid w:val="00561D94"/>
    <w:rsid w:val="00561EA3"/>
    <w:rsid w:val="00563241"/>
    <w:rsid w:val="005647E6"/>
    <w:rsid w:val="00564DB9"/>
    <w:rsid w:val="00566130"/>
    <w:rsid w:val="00566CC0"/>
    <w:rsid w:val="00566E73"/>
    <w:rsid w:val="0056704D"/>
    <w:rsid w:val="005675DB"/>
    <w:rsid w:val="005676AE"/>
    <w:rsid w:val="00567964"/>
    <w:rsid w:val="00571F46"/>
    <w:rsid w:val="0057223C"/>
    <w:rsid w:val="005724F6"/>
    <w:rsid w:val="00573074"/>
    <w:rsid w:val="00573462"/>
    <w:rsid w:val="00573712"/>
    <w:rsid w:val="00573802"/>
    <w:rsid w:val="0057380B"/>
    <w:rsid w:val="005740FC"/>
    <w:rsid w:val="00575ADE"/>
    <w:rsid w:val="005768F5"/>
    <w:rsid w:val="00576C6C"/>
    <w:rsid w:val="00577142"/>
    <w:rsid w:val="005800B4"/>
    <w:rsid w:val="005802F4"/>
    <w:rsid w:val="00581303"/>
    <w:rsid w:val="00581370"/>
    <w:rsid w:val="005821F3"/>
    <w:rsid w:val="00582BDD"/>
    <w:rsid w:val="00583A27"/>
    <w:rsid w:val="00584497"/>
    <w:rsid w:val="00584878"/>
    <w:rsid w:val="00584D2D"/>
    <w:rsid w:val="00585D72"/>
    <w:rsid w:val="00585F0F"/>
    <w:rsid w:val="0058740A"/>
    <w:rsid w:val="00587CB0"/>
    <w:rsid w:val="005904CE"/>
    <w:rsid w:val="005904FC"/>
    <w:rsid w:val="00591675"/>
    <w:rsid w:val="00591877"/>
    <w:rsid w:val="00591D8D"/>
    <w:rsid w:val="00596D3A"/>
    <w:rsid w:val="005974F4"/>
    <w:rsid w:val="00597C80"/>
    <w:rsid w:val="005A0898"/>
    <w:rsid w:val="005A2220"/>
    <w:rsid w:val="005A272D"/>
    <w:rsid w:val="005A2EF8"/>
    <w:rsid w:val="005A38DD"/>
    <w:rsid w:val="005A47D0"/>
    <w:rsid w:val="005A6DB3"/>
    <w:rsid w:val="005A6E18"/>
    <w:rsid w:val="005A706B"/>
    <w:rsid w:val="005B1318"/>
    <w:rsid w:val="005B19DA"/>
    <w:rsid w:val="005B1CA5"/>
    <w:rsid w:val="005B2360"/>
    <w:rsid w:val="005B4741"/>
    <w:rsid w:val="005B4A5A"/>
    <w:rsid w:val="005B5643"/>
    <w:rsid w:val="005B585D"/>
    <w:rsid w:val="005B59AF"/>
    <w:rsid w:val="005B6373"/>
    <w:rsid w:val="005C0BF2"/>
    <w:rsid w:val="005C19F6"/>
    <w:rsid w:val="005C2DEC"/>
    <w:rsid w:val="005C345F"/>
    <w:rsid w:val="005C440B"/>
    <w:rsid w:val="005C5369"/>
    <w:rsid w:val="005C5C72"/>
    <w:rsid w:val="005C6452"/>
    <w:rsid w:val="005C64C0"/>
    <w:rsid w:val="005C6AAE"/>
    <w:rsid w:val="005C6D07"/>
    <w:rsid w:val="005C732B"/>
    <w:rsid w:val="005D01EB"/>
    <w:rsid w:val="005D0374"/>
    <w:rsid w:val="005D0D03"/>
    <w:rsid w:val="005D3CF5"/>
    <w:rsid w:val="005D54FC"/>
    <w:rsid w:val="005D5C2D"/>
    <w:rsid w:val="005D6281"/>
    <w:rsid w:val="005D64B7"/>
    <w:rsid w:val="005D6B14"/>
    <w:rsid w:val="005D6FCB"/>
    <w:rsid w:val="005D7940"/>
    <w:rsid w:val="005D7EE7"/>
    <w:rsid w:val="005E0367"/>
    <w:rsid w:val="005E03D5"/>
    <w:rsid w:val="005E11B0"/>
    <w:rsid w:val="005E289A"/>
    <w:rsid w:val="005E471A"/>
    <w:rsid w:val="005E7F20"/>
    <w:rsid w:val="005F0BB4"/>
    <w:rsid w:val="005F141F"/>
    <w:rsid w:val="005F310E"/>
    <w:rsid w:val="005F664D"/>
    <w:rsid w:val="005F7140"/>
    <w:rsid w:val="005F77BE"/>
    <w:rsid w:val="0060095F"/>
    <w:rsid w:val="00600F3B"/>
    <w:rsid w:val="006013CB"/>
    <w:rsid w:val="006031DF"/>
    <w:rsid w:val="006047A4"/>
    <w:rsid w:val="006056F1"/>
    <w:rsid w:val="00606CB6"/>
    <w:rsid w:val="00607E2A"/>
    <w:rsid w:val="006110E4"/>
    <w:rsid w:val="0061137F"/>
    <w:rsid w:val="006117D1"/>
    <w:rsid w:val="00614624"/>
    <w:rsid w:val="0061499C"/>
    <w:rsid w:val="00614FAF"/>
    <w:rsid w:val="0061693B"/>
    <w:rsid w:val="00617D56"/>
    <w:rsid w:val="00617F6F"/>
    <w:rsid w:val="006215A9"/>
    <w:rsid w:val="006217E1"/>
    <w:rsid w:val="00623065"/>
    <w:rsid w:val="00623C1D"/>
    <w:rsid w:val="00623C4D"/>
    <w:rsid w:val="00624042"/>
    <w:rsid w:val="0062479F"/>
    <w:rsid w:val="00624B18"/>
    <w:rsid w:val="00624B72"/>
    <w:rsid w:val="00625A68"/>
    <w:rsid w:val="00626639"/>
    <w:rsid w:val="00626B92"/>
    <w:rsid w:val="00630168"/>
    <w:rsid w:val="006303D4"/>
    <w:rsid w:val="00630E3A"/>
    <w:rsid w:val="00630E8A"/>
    <w:rsid w:val="00632A27"/>
    <w:rsid w:val="006332E9"/>
    <w:rsid w:val="00636B96"/>
    <w:rsid w:val="00636C95"/>
    <w:rsid w:val="00637743"/>
    <w:rsid w:val="0064075D"/>
    <w:rsid w:val="00640764"/>
    <w:rsid w:val="0064157B"/>
    <w:rsid w:val="006415BF"/>
    <w:rsid w:val="00641648"/>
    <w:rsid w:val="00641652"/>
    <w:rsid w:val="00642406"/>
    <w:rsid w:val="006431CE"/>
    <w:rsid w:val="00643F3F"/>
    <w:rsid w:val="00647D75"/>
    <w:rsid w:val="00650EAE"/>
    <w:rsid w:val="0065243C"/>
    <w:rsid w:val="00652D77"/>
    <w:rsid w:val="00652EBC"/>
    <w:rsid w:val="00653524"/>
    <w:rsid w:val="006535B0"/>
    <w:rsid w:val="006543C7"/>
    <w:rsid w:val="006560B3"/>
    <w:rsid w:val="006563CE"/>
    <w:rsid w:val="006567BE"/>
    <w:rsid w:val="00656A9A"/>
    <w:rsid w:val="00661B3F"/>
    <w:rsid w:val="006636E5"/>
    <w:rsid w:val="006639A4"/>
    <w:rsid w:val="0066678D"/>
    <w:rsid w:val="00666EFD"/>
    <w:rsid w:val="00667A78"/>
    <w:rsid w:val="00667AB5"/>
    <w:rsid w:val="00667E63"/>
    <w:rsid w:val="0067030B"/>
    <w:rsid w:val="006714C3"/>
    <w:rsid w:val="00671CA8"/>
    <w:rsid w:val="00672732"/>
    <w:rsid w:val="006746F2"/>
    <w:rsid w:val="00674703"/>
    <w:rsid w:val="0067535F"/>
    <w:rsid w:val="00675EFE"/>
    <w:rsid w:val="00676560"/>
    <w:rsid w:val="00677039"/>
    <w:rsid w:val="00677DCB"/>
    <w:rsid w:val="006809B5"/>
    <w:rsid w:val="00681FBB"/>
    <w:rsid w:val="0068217C"/>
    <w:rsid w:val="00683F0D"/>
    <w:rsid w:val="00684B3E"/>
    <w:rsid w:val="00685205"/>
    <w:rsid w:val="00685CB4"/>
    <w:rsid w:val="006862AE"/>
    <w:rsid w:val="00687095"/>
    <w:rsid w:val="00687845"/>
    <w:rsid w:val="0069076A"/>
    <w:rsid w:val="006908C0"/>
    <w:rsid w:val="00690D87"/>
    <w:rsid w:val="006910F0"/>
    <w:rsid w:val="00691E0E"/>
    <w:rsid w:val="00692E37"/>
    <w:rsid w:val="006938B5"/>
    <w:rsid w:val="00693906"/>
    <w:rsid w:val="00693CA9"/>
    <w:rsid w:val="00694161"/>
    <w:rsid w:val="006950BC"/>
    <w:rsid w:val="00695362"/>
    <w:rsid w:val="0069560E"/>
    <w:rsid w:val="00695734"/>
    <w:rsid w:val="00696469"/>
    <w:rsid w:val="006965C3"/>
    <w:rsid w:val="00697DFE"/>
    <w:rsid w:val="006A00B6"/>
    <w:rsid w:val="006A0860"/>
    <w:rsid w:val="006A12F9"/>
    <w:rsid w:val="006A1A3E"/>
    <w:rsid w:val="006A289F"/>
    <w:rsid w:val="006A318C"/>
    <w:rsid w:val="006A5D36"/>
    <w:rsid w:val="006A5DFF"/>
    <w:rsid w:val="006A659A"/>
    <w:rsid w:val="006A79CB"/>
    <w:rsid w:val="006B0BFD"/>
    <w:rsid w:val="006B2162"/>
    <w:rsid w:val="006B220F"/>
    <w:rsid w:val="006B2968"/>
    <w:rsid w:val="006B2D4F"/>
    <w:rsid w:val="006B33DA"/>
    <w:rsid w:val="006B378E"/>
    <w:rsid w:val="006B3ACF"/>
    <w:rsid w:val="006B5CA3"/>
    <w:rsid w:val="006B673D"/>
    <w:rsid w:val="006B750D"/>
    <w:rsid w:val="006B7BEA"/>
    <w:rsid w:val="006B7D83"/>
    <w:rsid w:val="006B7E67"/>
    <w:rsid w:val="006C1065"/>
    <w:rsid w:val="006C1310"/>
    <w:rsid w:val="006C17CC"/>
    <w:rsid w:val="006C43E8"/>
    <w:rsid w:val="006C56CD"/>
    <w:rsid w:val="006C607F"/>
    <w:rsid w:val="006C64C5"/>
    <w:rsid w:val="006C6E01"/>
    <w:rsid w:val="006D1A41"/>
    <w:rsid w:val="006D1F1C"/>
    <w:rsid w:val="006D3B56"/>
    <w:rsid w:val="006D5190"/>
    <w:rsid w:val="006D51D0"/>
    <w:rsid w:val="006D5343"/>
    <w:rsid w:val="006D5AFD"/>
    <w:rsid w:val="006D6F32"/>
    <w:rsid w:val="006D76D6"/>
    <w:rsid w:val="006E02C3"/>
    <w:rsid w:val="006E1011"/>
    <w:rsid w:val="006E16FA"/>
    <w:rsid w:val="006E17A9"/>
    <w:rsid w:val="006E2711"/>
    <w:rsid w:val="006E28C1"/>
    <w:rsid w:val="006E317F"/>
    <w:rsid w:val="006E52FA"/>
    <w:rsid w:val="006E59C5"/>
    <w:rsid w:val="006E5E7C"/>
    <w:rsid w:val="006E6AED"/>
    <w:rsid w:val="006E6F05"/>
    <w:rsid w:val="006E7A5E"/>
    <w:rsid w:val="006E7E56"/>
    <w:rsid w:val="006F0CE5"/>
    <w:rsid w:val="006F19BD"/>
    <w:rsid w:val="006F2CB0"/>
    <w:rsid w:val="006F32F8"/>
    <w:rsid w:val="006F5A28"/>
    <w:rsid w:val="00700335"/>
    <w:rsid w:val="0070048B"/>
    <w:rsid w:val="0070058F"/>
    <w:rsid w:val="0070185E"/>
    <w:rsid w:val="007022A7"/>
    <w:rsid w:val="007032B3"/>
    <w:rsid w:val="00704B7A"/>
    <w:rsid w:val="007051F2"/>
    <w:rsid w:val="00705CA8"/>
    <w:rsid w:val="00707B59"/>
    <w:rsid w:val="00710DBB"/>
    <w:rsid w:val="00710E23"/>
    <w:rsid w:val="00711BE1"/>
    <w:rsid w:val="00712366"/>
    <w:rsid w:val="00713468"/>
    <w:rsid w:val="00713956"/>
    <w:rsid w:val="00714E93"/>
    <w:rsid w:val="00715051"/>
    <w:rsid w:val="00716A5A"/>
    <w:rsid w:val="00716CFE"/>
    <w:rsid w:val="00717651"/>
    <w:rsid w:val="007206B1"/>
    <w:rsid w:val="00724C27"/>
    <w:rsid w:val="0072548A"/>
    <w:rsid w:val="00725A6D"/>
    <w:rsid w:val="0072791F"/>
    <w:rsid w:val="00727D90"/>
    <w:rsid w:val="007305B1"/>
    <w:rsid w:val="00730F3E"/>
    <w:rsid w:val="007318FB"/>
    <w:rsid w:val="007321F3"/>
    <w:rsid w:val="0073282A"/>
    <w:rsid w:val="00733F76"/>
    <w:rsid w:val="0073408E"/>
    <w:rsid w:val="00734D70"/>
    <w:rsid w:val="00736CE8"/>
    <w:rsid w:val="00736E30"/>
    <w:rsid w:val="007372D9"/>
    <w:rsid w:val="00737ACC"/>
    <w:rsid w:val="00737AEB"/>
    <w:rsid w:val="0074045A"/>
    <w:rsid w:val="00740DCD"/>
    <w:rsid w:val="00740FE6"/>
    <w:rsid w:val="00742EA1"/>
    <w:rsid w:val="00743393"/>
    <w:rsid w:val="00744987"/>
    <w:rsid w:val="00744CAA"/>
    <w:rsid w:val="007462E1"/>
    <w:rsid w:val="00747146"/>
    <w:rsid w:val="00747B56"/>
    <w:rsid w:val="00747EE4"/>
    <w:rsid w:val="0075120D"/>
    <w:rsid w:val="007519CF"/>
    <w:rsid w:val="00752104"/>
    <w:rsid w:val="007531BD"/>
    <w:rsid w:val="00753822"/>
    <w:rsid w:val="00753BE9"/>
    <w:rsid w:val="00754A4E"/>
    <w:rsid w:val="00756C5A"/>
    <w:rsid w:val="00760416"/>
    <w:rsid w:val="00761069"/>
    <w:rsid w:val="007611DD"/>
    <w:rsid w:val="0076230A"/>
    <w:rsid w:val="0076258E"/>
    <w:rsid w:val="00762ED6"/>
    <w:rsid w:val="0076411F"/>
    <w:rsid w:val="00764388"/>
    <w:rsid w:val="0076481F"/>
    <w:rsid w:val="00764EF8"/>
    <w:rsid w:val="00766C1C"/>
    <w:rsid w:val="00767CFD"/>
    <w:rsid w:val="007704F6"/>
    <w:rsid w:val="00773C6A"/>
    <w:rsid w:val="007744FF"/>
    <w:rsid w:val="00774B64"/>
    <w:rsid w:val="007757D7"/>
    <w:rsid w:val="00775810"/>
    <w:rsid w:val="00775895"/>
    <w:rsid w:val="00775A91"/>
    <w:rsid w:val="00777377"/>
    <w:rsid w:val="007776D8"/>
    <w:rsid w:val="0077775E"/>
    <w:rsid w:val="00780B0E"/>
    <w:rsid w:val="0078248F"/>
    <w:rsid w:val="00782624"/>
    <w:rsid w:val="00783116"/>
    <w:rsid w:val="00783BCB"/>
    <w:rsid w:val="007849C8"/>
    <w:rsid w:val="00784FA9"/>
    <w:rsid w:val="00784FCB"/>
    <w:rsid w:val="00785D59"/>
    <w:rsid w:val="00786071"/>
    <w:rsid w:val="0078613E"/>
    <w:rsid w:val="0078664E"/>
    <w:rsid w:val="00786E52"/>
    <w:rsid w:val="00787138"/>
    <w:rsid w:val="00787D9A"/>
    <w:rsid w:val="00790310"/>
    <w:rsid w:val="00791ACA"/>
    <w:rsid w:val="00794673"/>
    <w:rsid w:val="0079741F"/>
    <w:rsid w:val="007A1046"/>
    <w:rsid w:val="007A2764"/>
    <w:rsid w:val="007A27CB"/>
    <w:rsid w:val="007A418B"/>
    <w:rsid w:val="007A52FB"/>
    <w:rsid w:val="007A55E3"/>
    <w:rsid w:val="007A739F"/>
    <w:rsid w:val="007A75E7"/>
    <w:rsid w:val="007A7D58"/>
    <w:rsid w:val="007B0124"/>
    <w:rsid w:val="007B06AF"/>
    <w:rsid w:val="007B0A6D"/>
    <w:rsid w:val="007B2D54"/>
    <w:rsid w:val="007B4B27"/>
    <w:rsid w:val="007B5C2F"/>
    <w:rsid w:val="007B6EB7"/>
    <w:rsid w:val="007B77C0"/>
    <w:rsid w:val="007C0507"/>
    <w:rsid w:val="007C0DB6"/>
    <w:rsid w:val="007C1907"/>
    <w:rsid w:val="007C2203"/>
    <w:rsid w:val="007C2656"/>
    <w:rsid w:val="007C318A"/>
    <w:rsid w:val="007C4396"/>
    <w:rsid w:val="007C4C4C"/>
    <w:rsid w:val="007C5C0D"/>
    <w:rsid w:val="007D0238"/>
    <w:rsid w:val="007D0C9B"/>
    <w:rsid w:val="007D16E5"/>
    <w:rsid w:val="007D448E"/>
    <w:rsid w:val="007D4CBD"/>
    <w:rsid w:val="007D4D35"/>
    <w:rsid w:val="007D67A6"/>
    <w:rsid w:val="007D689D"/>
    <w:rsid w:val="007D6D59"/>
    <w:rsid w:val="007D7361"/>
    <w:rsid w:val="007D7410"/>
    <w:rsid w:val="007D7DFF"/>
    <w:rsid w:val="007E2543"/>
    <w:rsid w:val="007E2B44"/>
    <w:rsid w:val="007E2C16"/>
    <w:rsid w:val="007E3292"/>
    <w:rsid w:val="007E3D84"/>
    <w:rsid w:val="007E4D87"/>
    <w:rsid w:val="007E6A5F"/>
    <w:rsid w:val="007F0D36"/>
    <w:rsid w:val="007F0FAA"/>
    <w:rsid w:val="007F15F5"/>
    <w:rsid w:val="007F1EB3"/>
    <w:rsid w:val="007F36A4"/>
    <w:rsid w:val="007F3921"/>
    <w:rsid w:val="007F6680"/>
    <w:rsid w:val="007F6C3D"/>
    <w:rsid w:val="007F76FF"/>
    <w:rsid w:val="0080015F"/>
    <w:rsid w:val="00801227"/>
    <w:rsid w:val="008017C4"/>
    <w:rsid w:val="00801896"/>
    <w:rsid w:val="00801C46"/>
    <w:rsid w:val="008031CC"/>
    <w:rsid w:val="008039F8"/>
    <w:rsid w:val="00803B18"/>
    <w:rsid w:val="008041FE"/>
    <w:rsid w:val="00805032"/>
    <w:rsid w:val="0080563C"/>
    <w:rsid w:val="00806341"/>
    <w:rsid w:val="00807858"/>
    <w:rsid w:val="0081108B"/>
    <w:rsid w:val="0081137C"/>
    <w:rsid w:val="00811932"/>
    <w:rsid w:val="00811D85"/>
    <w:rsid w:val="00812891"/>
    <w:rsid w:val="00812F91"/>
    <w:rsid w:val="00813970"/>
    <w:rsid w:val="008145DC"/>
    <w:rsid w:val="00815144"/>
    <w:rsid w:val="008157E3"/>
    <w:rsid w:val="008161F6"/>
    <w:rsid w:val="0081674F"/>
    <w:rsid w:val="00816E30"/>
    <w:rsid w:val="00817949"/>
    <w:rsid w:val="00817B05"/>
    <w:rsid w:val="00817E16"/>
    <w:rsid w:val="008217E6"/>
    <w:rsid w:val="00821AB6"/>
    <w:rsid w:val="0082260B"/>
    <w:rsid w:val="00823ADB"/>
    <w:rsid w:val="008242BA"/>
    <w:rsid w:val="00824EB3"/>
    <w:rsid w:val="00825F03"/>
    <w:rsid w:val="008261AB"/>
    <w:rsid w:val="00827A74"/>
    <w:rsid w:val="0083052D"/>
    <w:rsid w:val="0083216F"/>
    <w:rsid w:val="0083324D"/>
    <w:rsid w:val="0083325F"/>
    <w:rsid w:val="0083415C"/>
    <w:rsid w:val="00834209"/>
    <w:rsid w:val="008345BD"/>
    <w:rsid w:val="00835B73"/>
    <w:rsid w:val="00836019"/>
    <w:rsid w:val="00837D31"/>
    <w:rsid w:val="00840EB0"/>
    <w:rsid w:val="008452A9"/>
    <w:rsid w:val="008453BD"/>
    <w:rsid w:val="00845610"/>
    <w:rsid w:val="008466EB"/>
    <w:rsid w:val="00847036"/>
    <w:rsid w:val="008471C4"/>
    <w:rsid w:val="00850543"/>
    <w:rsid w:val="0085095A"/>
    <w:rsid w:val="00851EED"/>
    <w:rsid w:val="0085292C"/>
    <w:rsid w:val="00852A26"/>
    <w:rsid w:val="008532F6"/>
    <w:rsid w:val="00853737"/>
    <w:rsid w:val="00853A16"/>
    <w:rsid w:val="00853DD7"/>
    <w:rsid w:val="0085400C"/>
    <w:rsid w:val="008541B3"/>
    <w:rsid w:val="00854C16"/>
    <w:rsid w:val="00854F0D"/>
    <w:rsid w:val="00855666"/>
    <w:rsid w:val="008558A5"/>
    <w:rsid w:val="0085596E"/>
    <w:rsid w:val="00855E0A"/>
    <w:rsid w:val="00855FAF"/>
    <w:rsid w:val="00856628"/>
    <w:rsid w:val="00856699"/>
    <w:rsid w:val="0085698D"/>
    <w:rsid w:val="00856B28"/>
    <w:rsid w:val="00860F75"/>
    <w:rsid w:val="00860F82"/>
    <w:rsid w:val="008623A0"/>
    <w:rsid w:val="008632D2"/>
    <w:rsid w:val="00863635"/>
    <w:rsid w:val="0086448F"/>
    <w:rsid w:val="00864835"/>
    <w:rsid w:val="008649A5"/>
    <w:rsid w:val="00864BE0"/>
    <w:rsid w:val="00865093"/>
    <w:rsid w:val="0086543B"/>
    <w:rsid w:val="00865493"/>
    <w:rsid w:val="00865613"/>
    <w:rsid w:val="0086630A"/>
    <w:rsid w:val="00867394"/>
    <w:rsid w:val="008727CE"/>
    <w:rsid w:val="00872A8E"/>
    <w:rsid w:val="00872EA0"/>
    <w:rsid w:val="008758B5"/>
    <w:rsid w:val="00875ABF"/>
    <w:rsid w:val="00875EF2"/>
    <w:rsid w:val="00876CBD"/>
    <w:rsid w:val="00876CBF"/>
    <w:rsid w:val="00876E94"/>
    <w:rsid w:val="00877624"/>
    <w:rsid w:val="00877B71"/>
    <w:rsid w:val="00880745"/>
    <w:rsid w:val="0088079B"/>
    <w:rsid w:val="0088090E"/>
    <w:rsid w:val="00880C93"/>
    <w:rsid w:val="0088280D"/>
    <w:rsid w:val="00883CBA"/>
    <w:rsid w:val="00883ED3"/>
    <w:rsid w:val="00884152"/>
    <w:rsid w:val="00884B61"/>
    <w:rsid w:val="00885460"/>
    <w:rsid w:val="00886098"/>
    <w:rsid w:val="00887C59"/>
    <w:rsid w:val="00891124"/>
    <w:rsid w:val="008917C8"/>
    <w:rsid w:val="008917D1"/>
    <w:rsid w:val="0089186C"/>
    <w:rsid w:val="008924C9"/>
    <w:rsid w:val="0089310E"/>
    <w:rsid w:val="00893653"/>
    <w:rsid w:val="008945FE"/>
    <w:rsid w:val="00896B61"/>
    <w:rsid w:val="00897444"/>
    <w:rsid w:val="00897E8F"/>
    <w:rsid w:val="008A01B6"/>
    <w:rsid w:val="008A0BAE"/>
    <w:rsid w:val="008A0F3E"/>
    <w:rsid w:val="008A17FC"/>
    <w:rsid w:val="008A1AB6"/>
    <w:rsid w:val="008A29FB"/>
    <w:rsid w:val="008A2F22"/>
    <w:rsid w:val="008A3E41"/>
    <w:rsid w:val="008A3E4E"/>
    <w:rsid w:val="008A6056"/>
    <w:rsid w:val="008A7637"/>
    <w:rsid w:val="008A7654"/>
    <w:rsid w:val="008A7CE2"/>
    <w:rsid w:val="008B06DF"/>
    <w:rsid w:val="008B1953"/>
    <w:rsid w:val="008B28E9"/>
    <w:rsid w:val="008B3E05"/>
    <w:rsid w:val="008B4078"/>
    <w:rsid w:val="008B422F"/>
    <w:rsid w:val="008B4A84"/>
    <w:rsid w:val="008B7238"/>
    <w:rsid w:val="008B7634"/>
    <w:rsid w:val="008B7CCB"/>
    <w:rsid w:val="008C0B69"/>
    <w:rsid w:val="008C0C69"/>
    <w:rsid w:val="008C1346"/>
    <w:rsid w:val="008C244D"/>
    <w:rsid w:val="008C3C8E"/>
    <w:rsid w:val="008C429B"/>
    <w:rsid w:val="008C513A"/>
    <w:rsid w:val="008C6B44"/>
    <w:rsid w:val="008C6F55"/>
    <w:rsid w:val="008C7EE0"/>
    <w:rsid w:val="008D05A9"/>
    <w:rsid w:val="008D065C"/>
    <w:rsid w:val="008D176B"/>
    <w:rsid w:val="008D2DA7"/>
    <w:rsid w:val="008D30D0"/>
    <w:rsid w:val="008D33F7"/>
    <w:rsid w:val="008D399A"/>
    <w:rsid w:val="008D3A82"/>
    <w:rsid w:val="008D4A94"/>
    <w:rsid w:val="008D4EE7"/>
    <w:rsid w:val="008D53D3"/>
    <w:rsid w:val="008D61D9"/>
    <w:rsid w:val="008D6D26"/>
    <w:rsid w:val="008E002D"/>
    <w:rsid w:val="008E05F6"/>
    <w:rsid w:val="008E06C1"/>
    <w:rsid w:val="008E1607"/>
    <w:rsid w:val="008E49E8"/>
    <w:rsid w:val="008E4AF2"/>
    <w:rsid w:val="008E713A"/>
    <w:rsid w:val="008E746A"/>
    <w:rsid w:val="008F0FD5"/>
    <w:rsid w:val="008F19AB"/>
    <w:rsid w:val="008F2EBF"/>
    <w:rsid w:val="008F44BC"/>
    <w:rsid w:val="008F45E4"/>
    <w:rsid w:val="008F55DB"/>
    <w:rsid w:val="008F6786"/>
    <w:rsid w:val="008F7B5E"/>
    <w:rsid w:val="008F7E8B"/>
    <w:rsid w:val="00900181"/>
    <w:rsid w:val="009008C1"/>
    <w:rsid w:val="009016BF"/>
    <w:rsid w:val="0090180E"/>
    <w:rsid w:val="00904607"/>
    <w:rsid w:val="00904BF5"/>
    <w:rsid w:val="00904F37"/>
    <w:rsid w:val="009050F5"/>
    <w:rsid w:val="00905464"/>
    <w:rsid w:val="00905AB3"/>
    <w:rsid w:val="00905D27"/>
    <w:rsid w:val="009069FA"/>
    <w:rsid w:val="00907213"/>
    <w:rsid w:val="00910C8F"/>
    <w:rsid w:val="00912B28"/>
    <w:rsid w:val="00914203"/>
    <w:rsid w:val="0091459D"/>
    <w:rsid w:val="00914D4B"/>
    <w:rsid w:val="00915D9B"/>
    <w:rsid w:val="0091614A"/>
    <w:rsid w:val="00917B7B"/>
    <w:rsid w:val="00920B18"/>
    <w:rsid w:val="0092316D"/>
    <w:rsid w:val="00923CFB"/>
    <w:rsid w:val="009249DA"/>
    <w:rsid w:val="0092506B"/>
    <w:rsid w:val="00926946"/>
    <w:rsid w:val="00930771"/>
    <w:rsid w:val="00932B0F"/>
    <w:rsid w:val="00932FA2"/>
    <w:rsid w:val="00935AAD"/>
    <w:rsid w:val="00936957"/>
    <w:rsid w:val="00937A59"/>
    <w:rsid w:val="00941251"/>
    <w:rsid w:val="00941C99"/>
    <w:rsid w:val="0094207C"/>
    <w:rsid w:val="009425AE"/>
    <w:rsid w:val="0094284D"/>
    <w:rsid w:val="00943565"/>
    <w:rsid w:val="009437EF"/>
    <w:rsid w:val="00944454"/>
    <w:rsid w:val="00947798"/>
    <w:rsid w:val="009479C3"/>
    <w:rsid w:val="009509B1"/>
    <w:rsid w:val="00950F49"/>
    <w:rsid w:val="00951AC4"/>
    <w:rsid w:val="009520DF"/>
    <w:rsid w:val="0095310D"/>
    <w:rsid w:val="009535BE"/>
    <w:rsid w:val="00953DF4"/>
    <w:rsid w:val="00954452"/>
    <w:rsid w:val="009548C4"/>
    <w:rsid w:val="009562A1"/>
    <w:rsid w:val="009564A7"/>
    <w:rsid w:val="009564E8"/>
    <w:rsid w:val="00960350"/>
    <w:rsid w:val="009616A1"/>
    <w:rsid w:val="009623BC"/>
    <w:rsid w:val="00962669"/>
    <w:rsid w:val="00963612"/>
    <w:rsid w:val="00965CB5"/>
    <w:rsid w:val="009664A1"/>
    <w:rsid w:val="0096696F"/>
    <w:rsid w:val="00967E3B"/>
    <w:rsid w:val="00970553"/>
    <w:rsid w:val="009711BC"/>
    <w:rsid w:val="00972009"/>
    <w:rsid w:val="009730BD"/>
    <w:rsid w:val="0097352E"/>
    <w:rsid w:val="009735A2"/>
    <w:rsid w:val="00974387"/>
    <w:rsid w:val="00975638"/>
    <w:rsid w:val="00975C80"/>
    <w:rsid w:val="00975D54"/>
    <w:rsid w:val="00977F35"/>
    <w:rsid w:val="00980733"/>
    <w:rsid w:val="00981C4B"/>
    <w:rsid w:val="00982758"/>
    <w:rsid w:val="00982E99"/>
    <w:rsid w:val="00983933"/>
    <w:rsid w:val="00983AFF"/>
    <w:rsid w:val="00984006"/>
    <w:rsid w:val="00984A72"/>
    <w:rsid w:val="00985E05"/>
    <w:rsid w:val="00986659"/>
    <w:rsid w:val="00986D24"/>
    <w:rsid w:val="009873C8"/>
    <w:rsid w:val="00987A8F"/>
    <w:rsid w:val="00991D21"/>
    <w:rsid w:val="00992BF8"/>
    <w:rsid w:val="00992D9C"/>
    <w:rsid w:val="009938E0"/>
    <w:rsid w:val="00993A29"/>
    <w:rsid w:val="0099548B"/>
    <w:rsid w:val="00995EE0"/>
    <w:rsid w:val="00996038"/>
    <w:rsid w:val="00996B74"/>
    <w:rsid w:val="00997B9B"/>
    <w:rsid w:val="009A0B45"/>
    <w:rsid w:val="009A2A8F"/>
    <w:rsid w:val="009A2C03"/>
    <w:rsid w:val="009A2D4D"/>
    <w:rsid w:val="009A30B2"/>
    <w:rsid w:val="009A350A"/>
    <w:rsid w:val="009A3F45"/>
    <w:rsid w:val="009A4F6F"/>
    <w:rsid w:val="009A67E1"/>
    <w:rsid w:val="009A7EFC"/>
    <w:rsid w:val="009B0C12"/>
    <w:rsid w:val="009B1534"/>
    <w:rsid w:val="009B1CCE"/>
    <w:rsid w:val="009B1DD6"/>
    <w:rsid w:val="009B4557"/>
    <w:rsid w:val="009B5C58"/>
    <w:rsid w:val="009B6956"/>
    <w:rsid w:val="009B6AD0"/>
    <w:rsid w:val="009B7951"/>
    <w:rsid w:val="009C1ADD"/>
    <w:rsid w:val="009C20BE"/>
    <w:rsid w:val="009C2130"/>
    <w:rsid w:val="009C2483"/>
    <w:rsid w:val="009C2D70"/>
    <w:rsid w:val="009C3312"/>
    <w:rsid w:val="009C3A85"/>
    <w:rsid w:val="009C43CC"/>
    <w:rsid w:val="009C5105"/>
    <w:rsid w:val="009C5A37"/>
    <w:rsid w:val="009C5A70"/>
    <w:rsid w:val="009C6032"/>
    <w:rsid w:val="009C6C5E"/>
    <w:rsid w:val="009C7708"/>
    <w:rsid w:val="009D0363"/>
    <w:rsid w:val="009D1D46"/>
    <w:rsid w:val="009D27DE"/>
    <w:rsid w:val="009D29AC"/>
    <w:rsid w:val="009D2D26"/>
    <w:rsid w:val="009D2DEA"/>
    <w:rsid w:val="009D31D7"/>
    <w:rsid w:val="009D33F1"/>
    <w:rsid w:val="009D3CAC"/>
    <w:rsid w:val="009D3D88"/>
    <w:rsid w:val="009D4B63"/>
    <w:rsid w:val="009D53DD"/>
    <w:rsid w:val="009D7E24"/>
    <w:rsid w:val="009E1D3B"/>
    <w:rsid w:val="009E2F1F"/>
    <w:rsid w:val="009E31EB"/>
    <w:rsid w:val="009E34CB"/>
    <w:rsid w:val="009E46AD"/>
    <w:rsid w:val="009E47D0"/>
    <w:rsid w:val="009E5EEB"/>
    <w:rsid w:val="009E68DD"/>
    <w:rsid w:val="009E6E0F"/>
    <w:rsid w:val="009E72D4"/>
    <w:rsid w:val="009E7A51"/>
    <w:rsid w:val="009F09D3"/>
    <w:rsid w:val="009F0FB0"/>
    <w:rsid w:val="009F1259"/>
    <w:rsid w:val="009F252D"/>
    <w:rsid w:val="009F289E"/>
    <w:rsid w:val="009F2D59"/>
    <w:rsid w:val="009F3925"/>
    <w:rsid w:val="009F3B9A"/>
    <w:rsid w:val="009F4423"/>
    <w:rsid w:val="009F48B8"/>
    <w:rsid w:val="009F6BEA"/>
    <w:rsid w:val="009F6DB7"/>
    <w:rsid w:val="009F71B2"/>
    <w:rsid w:val="00A0015C"/>
    <w:rsid w:val="00A004E1"/>
    <w:rsid w:val="00A00B6F"/>
    <w:rsid w:val="00A0287B"/>
    <w:rsid w:val="00A04A17"/>
    <w:rsid w:val="00A05251"/>
    <w:rsid w:val="00A07717"/>
    <w:rsid w:val="00A07D4C"/>
    <w:rsid w:val="00A1004F"/>
    <w:rsid w:val="00A107CE"/>
    <w:rsid w:val="00A11733"/>
    <w:rsid w:val="00A13228"/>
    <w:rsid w:val="00A135E8"/>
    <w:rsid w:val="00A149C1"/>
    <w:rsid w:val="00A14A6E"/>
    <w:rsid w:val="00A15E3D"/>
    <w:rsid w:val="00A161BC"/>
    <w:rsid w:val="00A16391"/>
    <w:rsid w:val="00A16618"/>
    <w:rsid w:val="00A16E56"/>
    <w:rsid w:val="00A209E1"/>
    <w:rsid w:val="00A218F6"/>
    <w:rsid w:val="00A21F41"/>
    <w:rsid w:val="00A224CC"/>
    <w:rsid w:val="00A224EC"/>
    <w:rsid w:val="00A229C0"/>
    <w:rsid w:val="00A22B2B"/>
    <w:rsid w:val="00A23EE7"/>
    <w:rsid w:val="00A24683"/>
    <w:rsid w:val="00A24A57"/>
    <w:rsid w:val="00A25055"/>
    <w:rsid w:val="00A258D4"/>
    <w:rsid w:val="00A265B6"/>
    <w:rsid w:val="00A26A4B"/>
    <w:rsid w:val="00A26AAC"/>
    <w:rsid w:val="00A272D4"/>
    <w:rsid w:val="00A27547"/>
    <w:rsid w:val="00A279BB"/>
    <w:rsid w:val="00A30E10"/>
    <w:rsid w:val="00A314BA"/>
    <w:rsid w:val="00A36E36"/>
    <w:rsid w:val="00A43C27"/>
    <w:rsid w:val="00A444B7"/>
    <w:rsid w:val="00A45493"/>
    <w:rsid w:val="00A45A4C"/>
    <w:rsid w:val="00A5028E"/>
    <w:rsid w:val="00A51537"/>
    <w:rsid w:val="00A51F54"/>
    <w:rsid w:val="00A529BF"/>
    <w:rsid w:val="00A52E98"/>
    <w:rsid w:val="00A53E8E"/>
    <w:rsid w:val="00A555DC"/>
    <w:rsid w:val="00A56093"/>
    <w:rsid w:val="00A571A7"/>
    <w:rsid w:val="00A60CD0"/>
    <w:rsid w:val="00A60F9F"/>
    <w:rsid w:val="00A6190A"/>
    <w:rsid w:val="00A6243E"/>
    <w:rsid w:val="00A62980"/>
    <w:rsid w:val="00A62B22"/>
    <w:rsid w:val="00A62F01"/>
    <w:rsid w:val="00A6466B"/>
    <w:rsid w:val="00A64F38"/>
    <w:rsid w:val="00A662EA"/>
    <w:rsid w:val="00A6696B"/>
    <w:rsid w:val="00A7046A"/>
    <w:rsid w:val="00A70D22"/>
    <w:rsid w:val="00A70EC3"/>
    <w:rsid w:val="00A71BC0"/>
    <w:rsid w:val="00A7263D"/>
    <w:rsid w:val="00A742C0"/>
    <w:rsid w:val="00A74C9A"/>
    <w:rsid w:val="00A75A68"/>
    <w:rsid w:val="00A75DB9"/>
    <w:rsid w:val="00A766BE"/>
    <w:rsid w:val="00A801E6"/>
    <w:rsid w:val="00A808EB"/>
    <w:rsid w:val="00A81827"/>
    <w:rsid w:val="00A81FA5"/>
    <w:rsid w:val="00A827A7"/>
    <w:rsid w:val="00A838A3"/>
    <w:rsid w:val="00A84336"/>
    <w:rsid w:val="00A849DF"/>
    <w:rsid w:val="00A84D6F"/>
    <w:rsid w:val="00A84F4A"/>
    <w:rsid w:val="00A864BF"/>
    <w:rsid w:val="00A86605"/>
    <w:rsid w:val="00A87F4D"/>
    <w:rsid w:val="00A901F6"/>
    <w:rsid w:val="00A9049F"/>
    <w:rsid w:val="00A90B64"/>
    <w:rsid w:val="00A90F5D"/>
    <w:rsid w:val="00A912D7"/>
    <w:rsid w:val="00A91A67"/>
    <w:rsid w:val="00A92341"/>
    <w:rsid w:val="00A9236A"/>
    <w:rsid w:val="00A92E45"/>
    <w:rsid w:val="00A956DD"/>
    <w:rsid w:val="00A9572B"/>
    <w:rsid w:val="00A978F2"/>
    <w:rsid w:val="00AA10AF"/>
    <w:rsid w:val="00AA31BC"/>
    <w:rsid w:val="00AA609F"/>
    <w:rsid w:val="00AA623C"/>
    <w:rsid w:val="00AA69E2"/>
    <w:rsid w:val="00AA6BB2"/>
    <w:rsid w:val="00AA72F3"/>
    <w:rsid w:val="00AB0308"/>
    <w:rsid w:val="00AB0A0F"/>
    <w:rsid w:val="00AB0E2A"/>
    <w:rsid w:val="00AB0FB2"/>
    <w:rsid w:val="00AB1962"/>
    <w:rsid w:val="00AB24B8"/>
    <w:rsid w:val="00AB35E6"/>
    <w:rsid w:val="00AB50DA"/>
    <w:rsid w:val="00AB529F"/>
    <w:rsid w:val="00AB6BF6"/>
    <w:rsid w:val="00AC0035"/>
    <w:rsid w:val="00AC0824"/>
    <w:rsid w:val="00AC22CC"/>
    <w:rsid w:val="00AC27C5"/>
    <w:rsid w:val="00AC346D"/>
    <w:rsid w:val="00AC379C"/>
    <w:rsid w:val="00AC5650"/>
    <w:rsid w:val="00AC5A88"/>
    <w:rsid w:val="00AC5B63"/>
    <w:rsid w:val="00AD194B"/>
    <w:rsid w:val="00AD2271"/>
    <w:rsid w:val="00AD2291"/>
    <w:rsid w:val="00AD269F"/>
    <w:rsid w:val="00AD3236"/>
    <w:rsid w:val="00AD3419"/>
    <w:rsid w:val="00AD3ADD"/>
    <w:rsid w:val="00AD3D97"/>
    <w:rsid w:val="00AD408E"/>
    <w:rsid w:val="00AD4C21"/>
    <w:rsid w:val="00AD548F"/>
    <w:rsid w:val="00AD62E9"/>
    <w:rsid w:val="00AD68B1"/>
    <w:rsid w:val="00AD7178"/>
    <w:rsid w:val="00AD720F"/>
    <w:rsid w:val="00AD76F0"/>
    <w:rsid w:val="00AD7737"/>
    <w:rsid w:val="00AE1688"/>
    <w:rsid w:val="00AE1DB5"/>
    <w:rsid w:val="00AE2395"/>
    <w:rsid w:val="00AE310A"/>
    <w:rsid w:val="00AE311D"/>
    <w:rsid w:val="00AE5CB4"/>
    <w:rsid w:val="00AE5FD9"/>
    <w:rsid w:val="00AF11F2"/>
    <w:rsid w:val="00AF1854"/>
    <w:rsid w:val="00AF1EA6"/>
    <w:rsid w:val="00AF47D8"/>
    <w:rsid w:val="00AF52CB"/>
    <w:rsid w:val="00AF60CE"/>
    <w:rsid w:val="00AF6308"/>
    <w:rsid w:val="00AF6A82"/>
    <w:rsid w:val="00AF7BEE"/>
    <w:rsid w:val="00B02255"/>
    <w:rsid w:val="00B02BF1"/>
    <w:rsid w:val="00B04463"/>
    <w:rsid w:val="00B04DC6"/>
    <w:rsid w:val="00B051A0"/>
    <w:rsid w:val="00B056D0"/>
    <w:rsid w:val="00B07E30"/>
    <w:rsid w:val="00B07FE7"/>
    <w:rsid w:val="00B110D0"/>
    <w:rsid w:val="00B11861"/>
    <w:rsid w:val="00B130A9"/>
    <w:rsid w:val="00B1356D"/>
    <w:rsid w:val="00B138FE"/>
    <w:rsid w:val="00B14015"/>
    <w:rsid w:val="00B14B86"/>
    <w:rsid w:val="00B16BB5"/>
    <w:rsid w:val="00B174B9"/>
    <w:rsid w:val="00B20262"/>
    <w:rsid w:val="00B21E64"/>
    <w:rsid w:val="00B2233C"/>
    <w:rsid w:val="00B22D68"/>
    <w:rsid w:val="00B231A6"/>
    <w:rsid w:val="00B23744"/>
    <w:rsid w:val="00B247E4"/>
    <w:rsid w:val="00B26310"/>
    <w:rsid w:val="00B263C1"/>
    <w:rsid w:val="00B26541"/>
    <w:rsid w:val="00B27594"/>
    <w:rsid w:val="00B31925"/>
    <w:rsid w:val="00B31AE1"/>
    <w:rsid w:val="00B31AEF"/>
    <w:rsid w:val="00B31F6F"/>
    <w:rsid w:val="00B32356"/>
    <w:rsid w:val="00B323B3"/>
    <w:rsid w:val="00B32ADD"/>
    <w:rsid w:val="00B32CDE"/>
    <w:rsid w:val="00B3300F"/>
    <w:rsid w:val="00B33F68"/>
    <w:rsid w:val="00B34171"/>
    <w:rsid w:val="00B3531A"/>
    <w:rsid w:val="00B3548D"/>
    <w:rsid w:val="00B3598B"/>
    <w:rsid w:val="00B35A85"/>
    <w:rsid w:val="00B36645"/>
    <w:rsid w:val="00B37166"/>
    <w:rsid w:val="00B371E6"/>
    <w:rsid w:val="00B373D5"/>
    <w:rsid w:val="00B418DC"/>
    <w:rsid w:val="00B438B0"/>
    <w:rsid w:val="00B450E4"/>
    <w:rsid w:val="00B475FF"/>
    <w:rsid w:val="00B47762"/>
    <w:rsid w:val="00B47858"/>
    <w:rsid w:val="00B50185"/>
    <w:rsid w:val="00B50DDE"/>
    <w:rsid w:val="00B5143D"/>
    <w:rsid w:val="00B5166F"/>
    <w:rsid w:val="00B517E5"/>
    <w:rsid w:val="00B51B3B"/>
    <w:rsid w:val="00B521FC"/>
    <w:rsid w:val="00B52543"/>
    <w:rsid w:val="00B52A56"/>
    <w:rsid w:val="00B551D7"/>
    <w:rsid w:val="00B556F2"/>
    <w:rsid w:val="00B55F72"/>
    <w:rsid w:val="00B5613A"/>
    <w:rsid w:val="00B56316"/>
    <w:rsid w:val="00B56324"/>
    <w:rsid w:val="00B57990"/>
    <w:rsid w:val="00B57FEB"/>
    <w:rsid w:val="00B6126B"/>
    <w:rsid w:val="00B61B88"/>
    <w:rsid w:val="00B61D9D"/>
    <w:rsid w:val="00B62405"/>
    <w:rsid w:val="00B62B2A"/>
    <w:rsid w:val="00B62C38"/>
    <w:rsid w:val="00B62CC5"/>
    <w:rsid w:val="00B62F2B"/>
    <w:rsid w:val="00B632AB"/>
    <w:rsid w:val="00B646EF"/>
    <w:rsid w:val="00B64A67"/>
    <w:rsid w:val="00B64D2F"/>
    <w:rsid w:val="00B64EC2"/>
    <w:rsid w:val="00B66E33"/>
    <w:rsid w:val="00B70178"/>
    <w:rsid w:val="00B70334"/>
    <w:rsid w:val="00B70C4D"/>
    <w:rsid w:val="00B715A2"/>
    <w:rsid w:val="00B7181B"/>
    <w:rsid w:val="00B71833"/>
    <w:rsid w:val="00B7285F"/>
    <w:rsid w:val="00B73941"/>
    <w:rsid w:val="00B7408F"/>
    <w:rsid w:val="00B74448"/>
    <w:rsid w:val="00B751DC"/>
    <w:rsid w:val="00B7537F"/>
    <w:rsid w:val="00B76E56"/>
    <w:rsid w:val="00B774ED"/>
    <w:rsid w:val="00B7773C"/>
    <w:rsid w:val="00B77E7E"/>
    <w:rsid w:val="00B806D8"/>
    <w:rsid w:val="00B80D7B"/>
    <w:rsid w:val="00B8102B"/>
    <w:rsid w:val="00B8114F"/>
    <w:rsid w:val="00B82C1D"/>
    <w:rsid w:val="00B83F15"/>
    <w:rsid w:val="00B84E87"/>
    <w:rsid w:val="00B85418"/>
    <w:rsid w:val="00B859CA"/>
    <w:rsid w:val="00B86EFA"/>
    <w:rsid w:val="00B870BA"/>
    <w:rsid w:val="00B8721D"/>
    <w:rsid w:val="00B913DA"/>
    <w:rsid w:val="00B9221E"/>
    <w:rsid w:val="00B92FC8"/>
    <w:rsid w:val="00B93537"/>
    <w:rsid w:val="00B93C3C"/>
    <w:rsid w:val="00B93C72"/>
    <w:rsid w:val="00B95E12"/>
    <w:rsid w:val="00B95E32"/>
    <w:rsid w:val="00B96FB6"/>
    <w:rsid w:val="00B97381"/>
    <w:rsid w:val="00BA1C68"/>
    <w:rsid w:val="00BA1E7A"/>
    <w:rsid w:val="00BA25F7"/>
    <w:rsid w:val="00BA3788"/>
    <w:rsid w:val="00BA38BD"/>
    <w:rsid w:val="00BA44C1"/>
    <w:rsid w:val="00BA483C"/>
    <w:rsid w:val="00BA521E"/>
    <w:rsid w:val="00BA639E"/>
    <w:rsid w:val="00BA780D"/>
    <w:rsid w:val="00BA7EA3"/>
    <w:rsid w:val="00BB06B5"/>
    <w:rsid w:val="00BB0E04"/>
    <w:rsid w:val="00BB0EC9"/>
    <w:rsid w:val="00BB0FAB"/>
    <w:rsid w:val="00BB1435"/>
    <w:rsid w:val="00BB143E"/>
    <w:rsid w:val="00BB2DDF"/>
    <w:rsid w:val="00BB3110"/>
    <w:rsid w:val="00BB3535"/>
    <w:rsid w:val="00BB38CE"/>
    <w:rsid w:val="00BB3D56"/>
    <w:rsid w:val="00BB4244"/>
    <w:rsid w:val="00BB42FD"/>
    <w:rsid w:val="00BB49F4"/>
    <w:rsid w:val="00BB6BFC"/>
    <w:rsid w:val="00BB74DE"/>
    <w:rsid w:val="00BB7CA6"/>
    <w:rsid w:val="00BC0306"/>
    <w:rsid w:val="00BC091D"/>
    <w:rsid w:val="00BC09FD"/>
    <w:rsid w:val="00BC0A0D"/>
    <w:rsid w:val="00BC0E40"/>
    <w:rsid w:val="00BC1D69"/>
    <w:rsid w:val="00BC2340"/>
    <w:rsid w:val="00BC54B9"/>
    <w:rsid w:val="00BC6232"/>
    <w:rsid w:val="00BC6C7B"/>
    <w:rsid w:val="00BC79AA"/>
    <w:rsid w:val="00BD114B"/>
    <w:rsid w:val="00BD18D3"/>
    <w:rsid w:val="00BD1EAB"/>
    <w:rsid w:val="00BD2125"/>
    <w:rsid w:val="00BD4208"/>
    <w:rsid w:val="00BD420C"/>
    <w:rsid w:val="00BD4404"/>
    <w:rsid w:val="00BD620D"/>
    <w:rsid w:val="00BD64F7"/>
    <w:rsid w:val="00BD6BAD"/>
    <w:rsid w:val="00BD6CED"/>
    <w:rsid w:val="00BD7CFD"/>
    <w:rsid w:val="00BD7DB5"/>
    <w:rsid w:val="00BE0CB8"/>
    <w:rsid w:val="00BE283B"/>
    <w:rsid w:val="00BE2C00"/>
    <w:rsid w:val="00BE2C38"/>
    <w:rsid w:val="00BE478E"/>
    <w:rsid w:val="00BE562D"/>
    <w:rsid w:val="00BE5DE3"/>
    <w:rsid w:val="00BE5E64"/>
    <w:rsid w:val="00BE61D3"/>
    <w:rsid w:val="00BE6558"/>
    <w:rsid w:val="00BE6AD4"/>
    <w:rsid w:val="00BE6DB8"/>
    <w:rsid w:val="00BE7ABD"/>
    <w:rsid w:val="00BF022D"/>
    <w:rsid w:val="00BF1E8F"/>
    <w:rsid w:val="00BF2C96"/>
    <w:rsid w:val="00BF2EAE"/>
    <w:rsid w:val="00BF3396"/>
    <w:rsid w:val="00BF422D"/>
    <w:rsid w:val="00BF463C"/>
    <w:rsid w:val="00BF4B0D"/>
    <w:rsid w:val="00BF6457"/>
    <w:rsid w:val="00BF6744"/>
    <w:rsid w:val="00BF6837"/>
    <w:rsid w:val="00C00100"/>
    <w:rsid w:val="00C0055E"/>
    <w:rsid w:val="00C00EE9"/>
    <w:rsid w:val="00C01243"/>
    <w:rsid w:val="00C012AA"/>
    <w:rsid w:val="00C01FD4"/>
    <w:rsid w:val="00C026E0"/>
    <w:rsid w:val="00C02926"/>
    <w:rsid w:val="00C034D2"/>
    <w:rsid w:val="00C068B5"/>
    <w:rsid w:val="00C07C76"/>
    <w:rsid w:val="00C07E51"/>
    <w:rsid w:val="00C1040E"/>
    <w:rsid w:val="00C1337C"/>
    <w:rsid w:val="00C13ECA"/>
    <w:rsid w:val="00C144E5"/>
    <w:rsid w:val="00C14617"/>
    <w:rsid w:val="00C147B4"/>
    <w:rsid w:val="00C149B1"/>
    <w:rsid w:val="00C1714C"/>
    <w:rsid w:val="00C17644"/>
    <w:rsid w:val="00C178F7"/>
    <w:rsid w:val="00C20DCC"/>
    <w:rsid w:val="00C21112"/>
    <w:rsid w:val="00C211F5"/>
    <w:rsid w:val="00C213A3"/>
    <w:rsid w:val="00C21C7F"/>
    <w:rsid w:val="00C21D01"/>
    <w:rsid w:val="00C22E1A"/>
    <w:rsid w:val="00C2330D"/>
    <w:rsid w:val="00C23DDF"/>
    <w:rsid w:val="00C23EF7"/>
    <w:rsid w:val="00C25980"/>
    <w:rsid w:val="00C26748"/>
    <w:rsid w:val="00C2674B"/>
    <w:rsid w:val="00C26A38"/>
    <w:rsid w:val="00C26DAA"/>
    <w:rsid w:val="00C278BD"/>
    <w:rsid w:val="00C2791B"/>
    <w:rsid w:val="00C30036"/>
    <w:rsid w:val="00C306A6"/>
    <w:rsid w:val="00C30896"/>
    <w:rsid w:val="00C308E2"/>
    <w:rsid w:val="00C30A28"/>
    <w:rsid w:val="00C30E90"/>
    <w:rsid w:val="00C31B90"/>
    <w:rsid w:val="00C321DC"/>
    <w:rsid w:val="00C3285D"/>
    <w:rsid w:val="00C32AA6"/>
    <w:rsid w:val="00C343F4"/>
    <w:rsid w:val="00C34D6A"/>
    <w:rsid w:val="00C355F6"/>
    <w:rsid w:val="00C356D2"/>
    <w:rsid w:val="00C36AA9"/>
    <w:rsid w:val="00C37101"/>
    <w:rsid w:val="00C37E55"/>
    <w:rsid w:val="00C40488"/>
    <w:rsid w:val="00C40594"/>
    <w:rsid w:val="00C40A2B"/>
    <w:rsid w:val="00C424CB"/>
    <w:rsid w:val="00C427E4"/>
    <w:rsid w:val="00C427EA"/>
    <w:rsid w:val="00C440FB"/>
    <w:rsid w:val="00C441F6"/>
    <w:rsid w:val="00C44CA6"/>
    <w:rsid w:val="00C457F7"/>
    <w:rsid w:val="00C45BA1"/>
    <w:rsid w:val="00C463F3"/>
    <w:rsid w:val="00C47A82"/>
    <w:rsid w:val="00C50ACE"/>
    <w:rsid w:val="00C51046"/>
    <w:rsid w:val="00C515E8"/>
    <w:rsid w:val="00C51C6B"/>
    <w:rsid w:val="00C55314"/>
    <w:rsid w:val="00C56DEF"/>
    <w:rsid w:val="00C56E80"/>
    <w:rsid w:val="00C56F1A"/>
    <w:rsid w:val="00C571A3"/>
    <w:rsid w:val="00C57699"/>
    <w:rsid w:val="00C60E9A"/>
    <w:rsid w:val="00C6112E"/>
    <w:rsid w:val="00C617FB"/>
    <w:rsid w:val="00C6186C"/>
    <w:rsid w:val="00C634E6"/>
    <w:rsid w:val="00C63775"/>
    <w:rsid w:val="00C63B30"/>
    <w:rsid w:val="00C63BF9"/>
    <w:rsid w:val="00C641D9"/>
    <w:rsid w:val="00C67037"/>
    <w:rsid w:val="00C67630"/>
    <w:rsid w:val="00C67B70"/>
    <w:rsid w:val="00C725EE"/>
    <w:rsid w:val="00C72BE3"/>
    <w:rsid w:val="00C72D07"/>
    <w:rsid w:val="00C739E7"/>
    <w:rsid w:val="00C74178"/>
    <w:rsid w:val="00C7523A"/>
    <w:rsid w:val="00C759F9"/>
    <w:rsid w:val="00C75E44"/>
    <w:rsid w:val="00C76211"/>
    <w:rsid w:val="00C76E2A"/>
    <w:rsid w:val="00C7754E"/>
    <w:rsid w:val="00C77E56"/>
    <w:rsid w:val="00C8047A"/>
    <w:rsid w:val="00C813FF"/>
    <w:rsid w:val="00C81923"/>
    <w:rsid w:val="00C8251E"/>
    <w:rsid w:val="00C844B8"/>
    <w:rsid w:val="00C84774"/>
    <w:rsid w:val="00C861F5"/>
    <w:rsid w:val="00C864E0"/>
    <w:rsid w:val="00C869F1"/>
    <w:rsid w:val="00C86C49"/>
    <w:rsid w:val="00C86FCC"/>
    <w:rsid w:val="00C8704E"/>
    <w:rsid w:val="00C87231"/>
    <w:rsid w:val="00C87CD9"/>
    <w:rsid w:val="00C9118C"/>
    <w:rsid w:val="00C93A9C"/>
    <w:rsid w:val="00C944CC"/>
    <w:rsid w:val="00C95B34"/>
    <w:rsid w:val="00C95F8A"/>
    <w:rsid w:val="00CA03BC"/>
    <w:rsid w:val="00CA0C03"/>
    <w:rsid w:val="00CA0D20"/>
    <w:rsid w:val="00CA1A63"/>
    <w:rsid w:val="00CA2A1B"/>
    <w:rsid w:val="00CA33E4"/>
    <w:rsid w:val="00CA41FD"/>
    <w:rsid w:val="00CA4C43"/>
    <w:rsid w:val="00CA4E9E"/>
    <w:rsid w:val="00CA5CCA"/>
    <w:rsid w:val="00CA6F62"/>
    <w:rsid w:val="00CA7CCA"/>
    <w:rsid w:val="00CB057F"/>
    <w:rsid w:val="00CB1B52"/>
    <w:rsid w:val="00CB1D0D"/>
    <w:rsid w:val="00CB1FB4"/>
    <w:rsid w:val="00CB22AD"/>
    <w:rsid w:val="00CB49E9"/>
    <w:rsid w:val="00CB4FA7"/>
    <w:rsid w:val="00CB72BF"/>
    <w:rsid w:val="00CC1906"/>
    <w:rsid w:val="00CC1A96"/>
    <w:rsid w:val="00CC3A58"/>
    <w:rsid w:val="00CC4C0A"/>
    <w:rsid w:val="00CC5130"/>
    <w:rsid w:val="00CC52C5"/>
    <w:rsid w:val="00CC66F4"/>
    <w:rsid w:val="00CC6D62"/>
    <w:rsid w:val="00CC734B"/>
    <w:rsid w:val="00CC7F04"/>
    <w:rsid w:val="00CD1633"/>
    <w:rsid w:val="00CD20F1"/>
    <w:rsid w:val="00CD301B"/>
    <w:rsid w:val="00CD3B5A"/>
    <w:rsid w:val="00CD42C4"/>
    <w:rsid w:val="00CD57DF"/>
    <w:rsid w:val="00CD673C"/>
    <w:rsid w:val="00CE02F2"/>
    <w:rsid w:val="00CE1017"/>
    <w:rsid w:val="00CE153B"/>
    <w:rsid w:val="00CE23F9"/>
    <w:rsid w:val="00CE4480"/>
    <w:rsid w:val="00CE4F7F"/>
    <w:rsid w:val="00CE664B"/>
    <w:rsid w:val="00CE7237"/>
    <w:rsid w:val="00CE7A84"/>
    <w:rsid w:val="00CF0760"/>
    <w:rsid w:val="00CF3AEA"/>
    <w:rsid w:val="00CF440A"/>
    <w:rsid w:val="00CF4FA6"/>
    <w:rsid w:val="00CF59C2"/>
    <w:rsid w:val="00CF5C13"/>
    <w:rsid w:val="00CF5CBA"/>
    <w:rsid w:val="00CF5F76"/>
    <w:rsid w:val="00CF6EFB"/>
    <w:rsid w:val="00CF7FC4"/>
    <w:rsid w:val="00D00D2F"/>
    <w:rsid w:val="00D0126D"/>
    <w:rsid w:val="00D017EF"/>
    <w:rsid w:val="00D0398B"/>
    <w:rsid w:val="00D03B6E"/>
    <w:rsid w:val="00D045D0"/>
    <w:rsid w:val="00D04E58"/>
    <w:rsid w:val="00D054B8"/>
    <w:rsid w:val="00D055D2"/>
    <w:rsid w:val="00D055EF"/>
    <w:rsid w:val="00D067E5"/>
    <w:rsid w:val="00D06B8F"/>
    <w:rsid w:val="00D06DAE"/>
    <w:rsid w:val="00D07BDE"/>
    <w:rsid w:val="00D10248"/>
    <w:rsid w:val="00D1024F"/>
    <w:rsid w:val="00D104D9"/>
    <w:rsid w:val="00D12E1E"/>
    <w:rsid w:val="00D14D9E"/>
    <w:rsid w:val="00D15A06"/>
    <w:rsid w:val="00D175F9"/>
    <w:rsid w:val="00D17FA1"/>
    <w:rsid w:val="00D20AA6"/>
    <w:rsid w:val="00D2134B"/>
    <w:rsid w:val="00D22BEA"/>
    <w:rsid w:val="00D23179"/>
    <w:rsid w:val="00D2361F"/>
    <w:rsid w:val="00D23FB1"/>
    <w:rsid w:val="00D23FEE"/>
    <w:rsid w:val="00D27859"/>
    <w:rsid w:val="00D30B46"/>
    <w:rsid w:val="00D310C2"/>
    <w:rsid w:val="00D31FC7"/>
    <w:rsid w:val="00D34A90"/>
    <w:rsid w:val="00D34A9F"/>
    <w:rsid w:val="00D34F24"/>
    <w:rsid w:val="00D3504F"/>
    <w:rsid w:val="00D373D6"/>
    <w:rsid w:val="00D37C37"/>
    <w:rsid w:val="00D41FF5"/>
    <w:rsid w:val="00D426D7"/>
    <w:rsid w:val="00D429DF"/>
    <w:rsid w:val="00D42B7F"/>
    <w:rsid w:val="00D42F0F"/>
    <w:rsid w:val="00D43645"/>
    <w:rsid w:val="00D4364D"/>
    <w:rsid w:val="00D460CA"/>
    <w:rsid w:val="00D46583"/>
    <w:rsid w:val="00D475FE"/>
    <w:rsid w:val="00D5023C"/>
    <w:rsid w:val="00D51CCC"/>
    <w:rsid w:val="00D52873"/>
    <w:rsid w:val="00D54778"/>
    <w:rsid w:val="00D568AA"/>
    <w:rsid w:val="00D574E8"/>
    <w:rsid w:val="00D611FF"/>
    <w:rsid w:val="00D614C2"/>
    <w:rsid w:val="00D62462"/>
    <w:rsid w:val="00D624DF"/>
    <w:rsid w:val="00D624E5"/>
    <w:rsid w:val="00D6275A"/>
    <w:rsid w:val="00D6412A"/>
    <w:rsid w:val="00D64446"/>
    <w:rsid w:val="00D64C4B"/>
    <w:rsid w:val="00D64C74"/>
    <w:rsid w:val="00D66178"/>
    <w:rsid w:val="00D679EB"/>
    <w:rsid w:val="00D67DA2"/>
    <w:rsid w:val="00D70497"/>
    <w:rsid w:val="00D710AC"/>
    <w:rsid w:val="00D71223"/>
    <w:rsid w:val="00D738D9"/>
    <w:rsid w:val="00D76256"/>
    <w:rsid w:val="00D76353"/>
    <w:rsid w:val="00D80074"/>
    <w:rsid w:val="00D810B6"/>
    <w:rsid w:val="00D82837"/>
    <w:rsid w:val="00D85435"/>
    <w:rsid w:val="00D856AE"/>
    <w:rsid w:val="00D8724A"/>
    <w:rsid w:val="00D877A8"/>
    <w:rsid w:val="00D8799E"/>
    <w:rsid w:val="00D87CF0"/>
    <w:rsid w:val="00D908B7"/>
    <w:rsid w:val="00D917CF"/>
    <w:rsid w:val="00D949F9"/>
    <w:rsid w:val="00D94F80"/>
    <w:rsid w:val="00D9676A"/>
    <w:rsid w:val="00D973AA"/>
    <w:rsid w:val="00DA07D5"/>
    <w:rsid w:val="00DA35B5"/>
    <w:rsid w:val="00DA4D70"/>
    <w:rsid w:val="00DA6AD6"/>
    <w:rsid w:val="00DA788E"/>
    <w:rsid w:val="00DB1004"/>
    <w:rsid w:val="00DB1B16"/>
    <w:rsid w:val="00DB2EAF"/>
    <w:rsid w:val="00DB404E"/>
    <w:rsid w:val="00DB5B1B"/>
    <w:rsid w:val="00DB73D8"/>
    <w:rsid w:val="00DC00B4"/>
    <w:rsid w:val="00DC04C4"/>
    <w:rsid w:val="00DC0704"/>
    <w:rsid w:val="00DC31FD"/>
    <w:rsid w:val="00DC44A0"/>
    <w:rsid w:val="00DC5040"/>
    <w:rsid w:val="00DC5474"/>
    <w:rsid w:val="00DC5E8B"/>
    <w:rsid w:val="00DC5F16"/>
    <w:rsid w:val="00DC6773"/>
    <w:rsid w:val="00DC6FC7"/>
    <w:rsid w:val="00DC7CF6"/>
    <w:rsid w:val="00DD006A"/>
    <w:rsid w:val="00DD09F0"/>
    <w:rsid w:val="00DD0C9A"/>
    <w:rsid w:val="00DD159A"/>
    <w:rsid w:val="00DD1791"/>
    <w:rsid w:val="00DD1E96"/>
    <w:rsid w:val="00DD2CFB"/>
    <w:rsid w:val="00DD403F"/>
    <w:rsid w:val="00DD4CE2"/>
    <w:rsid w:val="00DD792D"/>
    <w:rsid w:val="00DE0CD5"/>
    <w:rsid w:val="00DE14E2"/>
    <w:rsid w:val="00DE1643"/>
    <w:rsid w:val="00DE283B"/>
    <w:rsid w:val="00DE36E4"/>
    <w:rsid w:val="00DE3B33"/>
    <w:rsid w:val="00DE4F7E"/>
    <w:rsid w:val="00DE521D"/>
    <w:rsid w:val="00DE5530"/>
    <w:rsid w:val="00DE5A11"/>
    <w:rsid w:val="00DE60C6"/>
    <w:rsid w:val="00DE60F4"/>
    <w:rsid w:val="00DE60F8"/>
    <w:rsid w:val="00DE6653"/>
    <w:rsid w:val="00DF063F"/>
    <w:rsid w:val="00DF15E8"/>
    <w:rsid w:val="00DF167C"/>
    <w:rsid w:val="00DF1711"/>
    <w:rsid w:val="00DF2CF1"/>
    <w:rsid w:val="00DF3154"/>
    <w:rsid w:val="00DF3A9B"/>
    <w:rsid w:val="00DF4132"/>
    <w:rsid w:val="00DF4C51"/>
    <w:rsid w:val="00DF4CA0"/>
    <w:rsid w:val="00DF5C0A"/>
    <w:rsid w:val="00DF5D92"/>
    <w:rsid w:val="00E01C14"/>
    <w:rsid w:val="00E01DFE"/>
    <w:rsid w:val="00E01E7B"/>
    <w:rsid w:val="00E02A28"/>
    <w:rsid w:val="00E02BB8"/>
    <w:rsid w:val="00E033A0"/>
    <w:rsid w:val="00E044E4"/>
    <w:rsid w:val="00E0794E"/>
    <w:rsid w:val="00E10B15"/>
    <w:rsid w:val="00E127F6"/>
    <w:rsid w:val="00E1360B"/>
    <w:rsid w:val="00E1365A"/>
    <w:rsid w:val="00E14B4D"/>
    <w:rsid w:val="00E1591A"/>
    <w:rsid w:val="00E161B8"/>
    <w:rsid w:val="00E16240"/>
    <w:rsid w:val="00E163A7"/>
    <w:rsid w:val="00E16941"/>
    <w:rsid w:val="00E16D1A"/>
    <w:rsid w:val="00E20CB1"/>
    <w:rsid w:val="00E215EF"/>
    <w:rsid w:val="00E21DD2"/>
    <w:rsid w:val="00E220FC"/>
    <w:rsid w:val="00E224E6"/>
    <w:rsid w:val="00E22B99"/>
    <w:rsid w:val="00E242B0"/>
    <w:rsid w:val="00E2445E"/>
    <w:rsid w:val="00E2454B"/>
    <w:rsid w:val="00E2468C"/>
    <w:rsid w:val="00E24703"/>
    <w:rsid w:val="00E26C7D"/>
    <w:rsid w:val="00E304C3"/>
    <w:rsid w:val="00E306F8"/>
    <w:rsid w:val="00E30901"/>
    <w:rsid w:val="00E314A5"/>
    <w:rsid w:val="00E31FD2"/>
    <w:rsid w:val="00E328CF"/>
    <w:rsid w:val="00E33325"/>
    <w:rsid w:val="00E33B74"/>
    <w:rsid w:val="00E33DD7"/>
    <w:rsid w:val="00E3445A"/>
    <w:rsid w:val="00E365D3"/>
    <w:rsid w:val="00E369FF"/>
    <w:rsid w:val="00E36DAC"/>
    <w:rsid w:val="00E373E1"/>
    <w:rsid w:val="00E37FA1"/>
    <w:rsid w:val="00E4078E"/>
    <w:rsid w:val="00E414FE"/>
    <w:rsid w:val="00E417E4"/>
    <w:rsid w:val="00E41A0F"/>
    <w:rsid w:val="00E42730"/>
    <w:rsid w:val="00E42EC4"/>
    <w:rsid w:val="00E43308"/>
    <w:rsid w:val="00E43935"/>
    <w:rsid w:val="00E4445F"/>
    <w:rsid w:val="00E445E4"/>
    <w:rsid w:val="00E4679F"/>
    <w:rsid w:val="00E47988"/>
    <w:rsid w:val="00E507B7"/>
    <w:rsid w:val="00E51969"/>
    <w:rsid w:val="00E51F5A"/>
    <w:rsid w:val="00E5203A"/>
    <w:rsid w:val="00E53219"/>
    <w:rsid w:val="00E53E02"/>
    <w:rsid w:val="00E54A02"/>
    <w:rsid w:val="00E55C45"/>
    <w:rsid w:val="00E56354"/>
    <w:rsid w:val="00E56D1C"/>
    <w:rsid w:val="00E60510"/>
    <w:rsid w:val="00E60AA7"/>
    <w:rsid w:val="00E61BF5"/>
    <w:rsid w:val="00E62181"/>
    <w:rsid w:val="00E62246"/>
    <w:rsid w:val="00E64C4D"/>
    <w:rsid w:val="00E65ABB"/>
    <w:rsid w:val="00E6792E"/>
    <w:rsid w:val="00E710F9"/>
    <w:rsid w:val="00E71158"/>
    <w:rsid w:val="00E718A4"/>
    <w:rsid w:val="00E72169"/>
    <w:rsid w:val="00E724BD"/>
    <w:rsid w:val="00E73061"/>
    <w:rsid w:val="00E73D07"/>
    <w:rsid w:val="00E74BB0"/>
    <w:rsid w:val="00E74C04"/>
    <w:rsid w:val="00E759E1"/>
    <w:rsid w:val="00E75DCA"/>
    <w:rsid w:val="00E76383"/>
    <w:rsid w:val="00E774B6"/>
    <w:rsid w:val="00E81304"/>
    <w:rsid w:val="00E82D1E"/>
    <w:rsid w:val="00E832E0"/>
    <w:rsid w:val="00E833D0"/>
    <w:rsid w:val="00E8522B"/>
    <w:rsid w:val="00E85501"/>
    <w:rsid w:val="00E85572"/>
    <w:rsid w:val="00E86374"/>
    <w:rsid w:val="00E86713"/>
    <w:rsid w:val="00E90BDF"/>
    <w:rsid w:val="00E90E5F"/>
    <w:rsid w:val="00E92DAE"/>
    <w:rsid w:val="00E9310F"/>
    <w:rsid w:val="00E9319B"/>
    <w:rsid w:val="00E93BCD"/>
    <w:rsid w:val="00E95428"/>
    <w:rsid w:val="00E962F7"/>
    <w:rsid w:val="00E96CED"/>
    <w:rsid w:val="00E97809"/>
    <w:rsid w:val="00E97E43"/>
    <w:rsid w:val="00EA039C"/>
    <w:rsid w:val="00EA060D"/>
    <w:rsid w:val="00EA0A0C"/>
    <w:rsid w:val="00EA0D37"/>
    <w:rsid w:val="00EA0F4A"/>
    <w:rsid w:val="00EA1927"/>
    <w:rsid w:val="00EA323F"/>
    <w:rsid w:val="00EA690D"/>
    <w:rsid w:val="00EA6EDD"/>
    <w:rsid w:val="00EB0AC6"/>
    <w:rsid w:val="00EB16EF"/>
    <w:rsid w:val="00EB3518"/>
    <w:rsid w:val="00EB366A"/>
    <w:rsid w:val="00EB4CF9"/>
    <w:rsid w:val="00EB5B6D"/>
    <w:rsid w:val="00EC0352"/>
    <w:rsid w:val="00EC1706"/>
    <w:rsid w:val="00EC17C6"/>
    <w:rsid w:val="00EC2133"/>
    <w:rsid w:val="00EC33FB"/>
    <w:rsid w:val="00EC3927"/>
    <w:rsid w:val="00EC3960"/>
    <w:rsid w:val="00EC46AD"/>
    <w:rsid w:val="00EC4F6D"/>
    <w:rsid w:val="00EC5819"/>
    <w:rsid w:val="00EC6AAD"/>
    <w:rsid w:val="00EC6FA2"/>
    <w:rsid w:val="00EC7856"/>
    <w:rsid w:val="00EC79D6"/>
    <w:rsid w:val="00EC7E5B"/>
    <w:rsid w:val="00EC7E6E"/>
    <w:rsid w:val="00ED36F8"/>
    <w:rsid w:val="00ED399F"/>
    <w:rsid w:val="00ED3F4E"/>
    <w:rsid w:val="00ED50A2"/>
    <w:rsid w:val="00ED5990"/>
    <w:rsid w:val="00ED5FC7"/>
    <w:rsid w:val="00ED7856"/>
    <w:rsid w:val="00EE14F4"/>
    <w:rsid w:val="00EE2CC3"/>
    <w:rsid w:val="00EE31E2"/>
    <w:rsid w:val="00EE3211"/>
    <w:rsid w:val="00EE4969"/>
    <w:rsid w:val="00EE4F41"/>
    <w:rsid w:val="00EE528B"/>
    <w:rsid w:val="00EE6CA7"/>
    <w:rsid w:val="00EE74D5"/>
    <w:rsid w:val="00EE7E17"/>
    <w:rsid w:val="00EF1954"/>
    <w:rsid w:val="00EF1959"/>
    <w:rsid w:val="00EF1C9E"/>
    <w:rsid w:val="00EF23ED"/>
    <w:rsid w:val="00EF26DC"/>
    <w:rsid w:val="00EF2CA0"/>
    <w:rsid w:val="00EF2FD8"/>
    <w:rsid w:val="00EF3CDD"/>
    <w:rsid w:val="00EF5916"/>
    <w:rsid w:val="00EF6E70"/>
    <w:rsid w:val="00F0148A"/>
    <w:rsid w:val="00F022B9"/>
    <w:rsid w:val="00F028D1"/>
    <w:rsid w:val="00F0528E"/>
    <w:rsid w:val="00F05347"/>
    <w:rsid w:val="00F05863"/>
    <w:rsid w:val="00F059A0"/>
    <w:rsid w:val="00F077E6"/>
    <w:rsid w:val="00F07BBE"/>
    <w:rsid w:val="00F134EF"/>
    <w:rsid w:val="00F15D46"/>
    <w:rsid w:val="00F160D8"/>
    <w:rsid w:val="00F17583"/>
    <w:rsid w:val="00F17D76"/>
    <w:rsid w:val="00F2032B"/>
    <w:rsid w:val="00F2050A"/>
    <w:rsid w:val="00F2278D"/>
    <w:rsid w:val="00F22EF5"/>
    <w:rsid w:val="00F233AE"/>
    <w:rsid w:val="00F23B5D"/>
    <w:rsid w:val="00F23DF8"/>
    <w:rsid w:val="00F23E0F"/>
    <w:rsid w:val="00F248BA"/>
    <w:rsid w:val="00F24F37"/>
    <w:rsid w:val="00F2538F"/>
    <w:rsid w:val="00F25F82"/>
    <w:rsid w:val="00F26904"/>
    <w:rsid w:val="00F276F4"/>
    <w:rsid w:val="00F27DEC"/>
    <w:rsid w:val="00F30DE1"/>
    <w:rsid w:val="00F316B9"/>
    <w:rsid w:val="00F31748"/>
    <w:rsid w:val="00F31798"/>
    <w:rsid w:val="00F31886"/>
    <w:rsid w:val="00F318EA"/>
    <w:rsid w:val="00F32571"/>
    <w:rsid w:val="00F33146"/>
    <w:rsid w:val="00F33B7C"/>
    <w:rsid w:val="00F33BA0"/>
    <w:rsid w:val="00F343BA"/>
    <w:rsid w:val="00F34784"/>
    <w:rsid w:val="00F3543B"/>
    <w:rsid w:val="00F35C5C"/>
    <w:rsid w:val="00F40EAA"/>
    <w:rsid w:val="00F42996"/>
    <w:rsid w:val="00F438D5"/>
    <w:rsid w:val="00F442B5"/>
    <w:rsid w:val="00F45001"/>
    <w:rsid w:val="00F4534B"/>
    <w:rsid w:val="00F4597C"/>
    <w:rsid w:val="00F460B0"/>
    <w:rsid w:val="00F4700D"/>
    <w:rsid w:val="00F50E76"/>
    <w:rsid w:val="00F50EE2"/>
    <w:rsid w:val="00F51961"/>
    <w:rsid w:val="00F52BB1"/>
    <w:rsid w:val="00F5351F"/>
    <w:rsid w:val="00F5422A"/>
    <w:rsid w:val="00F54698"/>
    <w:rsid w:val="00F56622"/>
    <w:rsid w:val="00F572AD"/>
    <w:rsid w:val="00F575D2"/>
    <w:rsid w:val="00F60539"/>
    <w:rsid w:val="00F60B21"/>
    <w:rsid w:val="00F62D0F"/>
    <w:rsid w:val="00F64ED1"/>
    <w:rsid w:val="00F652A7"/>
    <w:rsid w:val="00F65414"/>
    <w:rsid w:val="00F6546B"/>
    <w:rsid w:val="00F65C00"/>
    <w:rsid w:val="00F70131"/>
    <w:rsid w:val="00F7065E"/>
    <w:rsid w:val="00F70913"/>
    <w:rsid w:val="00F709EE"/>
    <w:rsid w:val="00F71014"/>
    <w:rsid w:val="00F7168A"/>
    <w:rsid w:val="00F72972"/>
    <w:rsid w:val="00F72DB4"/>
    <w:rsid w:val="00F72FDD"/>
    <w:rsid w:val="00F7410B"/>
    <w:rsid w:val="00F74815"/>
    <w:rsid w:val="00F74EA5"/>
    <w:rsid w:val="00F74EF2"/>
    <w:rsid w:val="00F755DF"/>
    <w:rsid w:val="00F76010"/>
    <w:rsid w:val="00F7643A"/>
    <w:rsid w:val="00F7670F"/>
    <w:rsid w:val="00F80C1C"/>
    <w:rsid w:val="00F84132"/>
    <w:rsid w:val="00F84270"/>
    <w:rsid w:val="00F84EAD"/>
    <w:rsid w:val="00F8650C"/>
    <w:rsid w:val="00F876EB"/>
    <w:rsid w:val="00F908E2"/>
    <w:rsid w:val="00F908E7"/>
    <w:rsid w:val="00F90DC5"/>
    <w:rsid w:val="00F9245F"/>
    <w:rsid w:val="00F93195"/>
    <w:rsid w:val="00F943C1"/>
    <w:rsid w:val="00F956A0"/>
    <w:rsid w:val="00F9575D"/>
    <w:rsid w:val="00FA3458"/>
    <w:rsid w:val="00FA37EE"/>
    <w:rsid w:val="00FA6926"/>
    <w:rsid w:val="00FA7889"/>
    <w:rsid w:val="00FA7A8E"/>
    <w:rsid w:val="00FB119D"/>
    <w:rsid w:val="00FB1576"/>
    <w:rsid w:val="00FB30DE"/>
    <w:rsid w:val="00FB3C93"/>
    <w:rsid w:val="00FB6E6E"/>
    <w:rsid w:val="00FB6EF2"/>
    <w:rsid w:val="00FC0069"/>
    <w:rsid w:val="00FC03A1"/>
    <w:rsid w:val="00FC0CC4"/>
    <w:rsid w:val="00FC1024"/>
    <w:rsid w:val="00FC151A"/>
    <w:rsid w:val="00FC3508"/>
    <w:rsid w:val="00FC3A8F"/>
    <w:rsid w:val="00FC42E1"/>
    <w:rsid w:val="00FC4949"/>
    <w:rsid w:val="00FC57DE"/>
    <w:rsid w:val="00FC59C2"/>
    <w:rsid w:val="00FC5C86"/>
    <w:rsid w:val="00FC5E89"/>
    <w:rsid w:val="00FC624D"/>
    <w:rsid w:val="00FC7211"/>
    <w:rsid w:val="00FC7408"/>
    <w:rsid w:val="00FC7CD4"/>
    <w:rsid w:val="00FD0001"/>
    <w:rsid w:val="00FD0071"/>
    <w:rsid w:val="00FD1F6E"/>
    <w:rsid w:val="00FD4019"/>
    <w:rsid w:val="00FD6DE6"/>
    <w:rsid w:val="00FD7D09"/>
    <w:rsid w:val="00FE2EF7"/>
    <w:rsid w:val="00FE375F"/>
    <w:rsid w:val="00FE46F6"/>
    <w:rsid w:val="00FE51B4"/>
    <w:rsid w:val="00FE5374"/>
    <w:rsid w:val="00FE53BB"/>
    <w:rsid w:val="00FE5955"/>
    <w:rsid w:val="00FE683A"/>
    <w:rsid w:val="00FE7085"/>
    <w:rsid w:val="00FE72DB"/>
    <w:rsid w:val="00FF0EBF"/>
    <w:rsid w:val="00FF19D8"/>
    <w:rsid w:val="00FF2742"/>
    <w:rsid w:val="00FF40A5"/>
    <w:rsid w:val="00FF52F2"/>
    <w:rsid w:val="00FF5992"/>
    <w:rsid w:val="00FF68B9"/>
    <w:rsid w:val="00FF7A2A"/>
    <w:rsid w:val="42EC8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21D4E"/>
  <w15:docId w15:val="{9E3E166F-0A24-40D4-8C37-F5322FA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050"/>
    <w:pPr>
      <w:jc w:val="both"/>
      <w:outlineLvl w:val="0"/>
    </w:pPr>
    <w:rPr>
      <w:rFonts w:ascii="Times New Roman" w:hAnsi="Times New Roman" w:cs="Times New Roman"/>
      <w:b/>
      <w:sz w:val="24"/>
      <w:szCs w:val="24"/>
      <w:u w:val="single"/>
    </w:rPr>
  </w:style>
  <w:style w:type="paragraph" w:styleId="Heading2">
    <w:name w:val="heading 2"/>
    <w:basedOn w:val="ListParagraph"/>
    <w:next w:val="Normal"/>
    <w:link w:val="Heading2Char"/>
    <w:uiPriority w:val="9"/>
    <w:unhideWhenUsed/>
    <w:qFormat/>
    <w:rsid w:val="00D429DF"/>
    <w:pPr>
      <w:numPr>
        <w:numId w:val="2"/>
      </w:numPr>
      <w:jc w:val="both"/>
      <w:outlineLvl w:val="1"/>
    </w:pPr>
    <w:rPr>
      <w:rFonts w:ascii="Times New Roman" w:hAnsi="Times New Roman" w:cs="Times New Roman"/>
      <w:b/>
      <w:sz w:val="24"/>
      <w:szCs w:val="24"/>
    </w:rPr>
  </w:style>
  <w:style w:type="paragraph" w:styleId="Heading3">
    <w:name w:val="heading 3"/>
    <w:basedOn w:val="ListParagraph"/>
    <w:next w:val="Normal"/>
    <w:link w:val="Heading3Char"/>
    <w:uiPriority w:val="9"/>
    <w:unhideWhenUsed/>
    <w:qFormat/>
    <w:rsid w:val="00D429DF"/>
    <w:pPr>
      <w:numPr>
        <w:numId w:val="3"/>
      </w:numPr>
      <w:jc w:val="both"/>
      <w:outlineLvl w:val="2"/>
    </w:pPr>
    <w:rPr>
      <w:rFonts w:ascii="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941"/>
    <w:pPr>
      <w:ind w:left="720"/>
      <w:contextualSpacing/>
    </w:pPr>
  </w:style>
  <w:style w:type="paragraph" w:styleId="FootnoteText">
    <w:name w:val="footnote text"/>
    <w:aliases w:val="Footnote Text Char1,Footnote Text Char Char,ft Char"/>
    <w:basedOn w:val="Normal"/>
    <w:link w:val="FootnoteTextChar"/>
    <w:uiPriority w:val="99"/>
    <w:unhideWhenUsed/>
    <w:qFormat/>
    <w:rsid w:val="00212412"/>
    <w:rPr>
      <w:sz w:val="20"/>
      <w:szCs w:val="20"/>
    </w:rPr>
  </w:style>
  <w:style w:type="character" w:customStyle="1" w:styleId="FootnoteTextChar">
    <w:name w:val="Footnote Text Char"/>
    <w:aliases w:val="Footnote Text Char1 Char,Footnote Text Char Char Char,ft Char Char"/>
    <w:basedOn w:val="DefaultParagraphFont"/>
    <w:link w:val="FootnoteText"/>
    <w:uiPriority w:val="99"/>
    <w:rsid w:val="00212412"/>
    <w:rPr>
      <w:sz w:val="20"/>
      <w:szCs w:val="20"/>
    </w:rPr>
  </w:style>
  <w:style w:type="paragraph" w:customStyle="1" w:styleId="Default">
    <w:name w:val="Default"/>
    <w:rsid w:val="00062DD8"/>
    <w:pPr>
      <w:autoSpaceDE w:val="0"/>
      <w:autoSpaceDN w:val="0"/>
      <w:adjustRightInd w:val="0"/>
    </w:pPr>
    <w:rPr>
      <w:rFonts w:ascii="Times New Roman" w:hAnsi="Times New Roman" w:cs="Times New Roman"/>
      <w:color w:val="000000"/>
      <w:sz w:val="24"/>
      <w:szCs w:val="24"/>
    </w:rPr>
  </w:style>
  <w:style w:type="character" w:styleId="FootnoteReference">
    <w:name w:val="footnote reference"/>
    <w:aliases w:val="fr"/>
    <w:basedOn w:val="DefaultParagraphFont"/>
    <w:uiPriority w:val="99"/>
    <w:unhideWhenUsed/>
    <w:rsid w:val="009C5A37"/>
    <w:rPr>
      <w:vertAlign w:val="superscript"/>
    </w:rPr>
  </w:style>
  <w:style w:type="paragraph" w:styleId="Header">
    <w:name w:val="header"/>
    <w:basedOn w:val="Normal"/>
    <w:link w:val="HeaderChar"/>
    <w:uiPriority w:val="99"/>
    <w:unhideWhenUsed/>
    <w:rsid w:val="00905464"/>
    <w:pPr>
      <w:tabs>
        <w:tab w:val="center" w:pos="4680"/>
        <w:tab w:val="right" w:pos="9360"/>
      </w:tabs>
    </w:pPr>
  </w:style>
  <w:style w:type="character" w:customStyle="1" w:styleId="HeaderChar">
    <w:name w:val="Header Char"/>
    <w:basedOn w:val="DefaultParagraphFont"/>
    <w:link w:val="Header"/>
    <w:uiPriority w:val="99"/>
    <w:rsid w:val="00905464"/>
  </w:style>
  <w:style w:type="paragraph" w:styleId="Footer">
    <w:name w:val="footer"/>
    <w:basedOn w:val="Normal"/>
    <w:link w:val="FooterChar"/>
    <w:uiPriority w:val="99"/>
    <w:unhideWhenUsed/>
    <w:rsid w:val="00905464"/>
    <w:pPr>
      <w:tabs>
        <w:tab w:val="center" w:pos="4680"/>
        <w:tab w:val="right" w:pos="9360"/>
      </w:tabs>
    </w:pPr>
  </w:style>
  <w:style w:type="character" w:customStyle="1" w:styleId="FooterChar">
    <w:name w:val="Footer Char"/>
    <w:basedOn w:val="DefaultParagraphFont"/>
    <w:link w:val="Footer"/>
    <w:uiPriority w:val="99"/>
    <w:rsid w:val="00905464"/>
  </w:style>
  <w:style w:type="character" w:styleId="CommentReference">
    <w:name w:val="annotation reference"/>
    <w:basedOn w:val="DefaultParagraphFont"/>
    <w:uiPriority w:val="99"/>
    <w:semiHidden/>
    <w:unhideWhenUsed/>
    <w:rsid w:val="009938E0"/>
    <w:rPr>
      <w:sz w:val="16"/>
      <w:szCs w:val="16"/>
    </w:rPr>
  </w:style>
  <w:style w:type="paragraph" w:styleId="CommentText">
    <w:name w:val="annotation text"/>
    <w:basedOn w:val="Normal"/>
    <w:link w:val="CommentTextChar"/>
    <w:uiPriority w:val="99"/>
    <w:semiHidden/>
    <w:unhideWhenUsed/>
    <w:rsid w:val="009938E0"/>
    <w:rPr>
      <w:sz w:val="20"/>
      <w:szCs w:val="20"/>
    </w:rPr>
  </w:style>
  <w:style w:type="character" w:customStyle="1" w:styleId="CommentTextChar">
    <w:name w:val="Comment Text Char"/>
    <w:basedOn w:val="DefaultParagraphFont"/>
    <w:link w:val="CommentText"/>
    <w:uiPriority w:val="99"/>
    <w:semiHidden/>
    <w:rsid w:val="009938E0"/>
    <w:rPr>
      <w:sz w:val="20"/>
      <w:szCs w:val="20"/>
    </w:rPr>
  </w:style>
  <w:style w:type="paragraph" w:styleId="CommentSubject">
    <w:name w:val="annotation subject"/>
    <w:basedOn w:val="CommentText"/>
    <w:next w:val="CommentText"/>
    <w:link w:val="CommentSubjectChar"/>
    <w:uiPriority w:val="99"/>
    <w:semiHidden/>
    <w:unhideWhenUsed/>
    <w:rsid w:val="009938E0"/>
    <w:rPr>
      <w:b/>
      <w:bCs/>
    </w:rPr>
  </w:style>
  <w:style w:type="character" w:customStyle="1" w:styleId="CommentSubjectChar">
    <w:name w:val="Comment Subject Char"/>
    <w:basedOn w:val="CommentTextChar"/>
    <w:link w:val="CommentSubject"/>
    <w:uiPriority w:val="99"/>
    <w:semiHidden/>
    <w:rsid w:val="009938E0"/>
    <w:rPr>
      <w:b/>
      <w:bCs/>
      <w:sz w:val="20"/>
      <w:szCs w:val="20"/>
    </w:rPr>
  </w:style>
  <w:style w:type="paragraph" w:styleId="BalloonText">
    <w:name w:val="Balloon Text"/>
    <w:basedOn w:val="Normal"/>
    <w:link w:val="BalloonTextChar"/>
    <w:uiPriority w:val="99"/>
    <w:semiHidden/>
    <w:unhideWhenUsed/>
    <w:rsid w:val="009938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E0"/>
    <w:rPr>
      <w:rFonts w:ascii="Segoe UI" w:hAnsi="Segoe UI" w:cs="Segoe UI"/>
      <w:sz w:val="18"/>
      <w:szCs w:val="18"/>
    </w:rPr>
  </w:style>
  <w:style w:type="character" w:customStyle="1" w:styleId="Heading1Char">
    <w:name w:val="Heading 1 Char"/>
    <w:basedOn w:val="DefaultParagraphFont"/>
    <w:link w:val="Heading1"/>
    <w:uiPriority w:val="9"/>
    <w:rsid w:val="003E6050"/>
    <w:rPr>
      <w:rFonts w:ascii="Times New Roman" w:hAnsi="Times New Roman" w:cs="Times New Roman"/>
      <w:b/>
      <w:sz w:val="24"/>
      <w:szCs w:val="24"/>
      <w:u w:val="single"/>
    </w:rPr>
  </w:style>
  <w:style w:type="character" w:customStyle="1" w:styleId="Heading2Char">
    <w:name w:val="Heading 2 Char"/>
    <w:basedOn w:val="DefaultParagraphFont"/>
    <w:link w:val="Heading2"/>
    <w:uiPriority w:val="9"/>
    <w:rsid w:val="00D429DF"/>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D429DF"/>
    <w:rPr>
      <w:rFonts w:ascii="Times New Roman" w:hAnsi="Times New Roman" w:cs="Times New Roman"/>
      <w:b/>
      <w:i/>
      <w:sz w:val="24"/>
      <w:szCs w:val="24"/>
    </w:rPr>
  </w:style>
  <w:style w:type="character" w:customStyle="1" w:styleId="A2">
    <w:name w:val="A2"/>
    <w:uiPriority w:val="99"/>
    <w:rsid w:val="00473269"/>
    <w:rPr>
      <w:color w:val="000000"/>
      <w:sz w:val="21"/>
      <w:szCs w:val="21"/>
    </w:rPr>
  </w:style>
  <w:style w:type="paragraph" w:styleId="EndnoteText">
    <w:name w:val="endnote text"/>
    <w:basedOn w:val="Normal"/>
    <w:link w:val="EndnoteTextChar"/>
    <w:uiPriority w:val="99"/>
    <w:semiHidden/>
    <w:unhideWhenUsed/>
    <w:rsid w:val="00097D48"/>
    <w:rPr>
      <w:sz w:val="20"/>
      <w:szCs w:val="20"/>
    </w:rPr>
  </w:style>
  <w:style w:type="character" w:customStyle="1" w:styleId="EndnoteTextChar">
    <w:name w:val="Endnote Text Char"/>
    <w:basedOn w:val="DefaultParagraphFont"/>
    <w:link w:val="EndnoteText"/>
    <w:uiPriority w:val="99"/>
    <w:semiHidden/>
    <w:rsid w:val="00097D48"/>
    <w:rPr>
      <w:sz w:val="20"/>
      <w:szCs w:val="20"/>
    </w:rPr>
  </w:style>
  <w:style w:type="character" w:styleId="EndnoteReference">
    <w:name w:val="endnote reference"/>
    <w:basedOn w:val="DefaultParagraphFont"/>
    <w:uiPriority w:val="99"/>
    <w:semiHidden/>
    <w:unhideWhenUsed/>
    <w:rsid w:val="00097D48"/>
    <w:rPr>
      <w:vertAlign w:val="superscript"/>
    </w:rPr>
  </w:style>
  <w:style w:type="character" w:styleId="Hyperlink">
    <w:name w:val="Hyperlink"/>
    <w:basedOn w:val="DefaultParagraphFont"/>
    <w:uiPriority w:val="99"/>
    <w:rsid w:val="00F45001"/>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64A67"/>
    <w:rPr>
      <w:color w:val="605E5C"/>
      <w:shd w:val="clear" w:color="auto" w:fill="E1DFDD"/>
    </w:rPr>
  </w:style>
  <w:style w:type="character" w:styleId="FollowedHyperlink">
    <w:name w:val="FollowedHyperlink"/>
    <w:basedOn w:val="DefaultParagraphFont"/>
    <w:uiPriority w:val="99"/>
    <w:semiHidden/>
    <w:unhideWhenUsed/>
    <w:rsid w:val="00273FC0"/>
    <w:rPr>
      <w:color w:val="954F72" w:themeColor="followedHyperlink"/>
      <w:u w:val="single"/>
    </w:rPr>
  </w:style>
  <w:style w:type="character" w:customStyle="1" w:styleId="UnresolvedMention2">
    <w:name w:val="Unresolved Mention2"/>
    <w:basedOn w:val="DefaultParagraphFont"/>
    <w:uiPriority w:val="99"/>
    <w:semiHidden/>
    <w:unhideWhenUsed/>
    <w:rsid w:val="00D17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1899">
      <w:bodyDiv w:val="1"/>
      <w:marLeft w:val="0"/>
      <w:marRight w:val="0"/>
      <w:marTop w:val="0"/>
      <w:marBottom w:val="0"/>
      <w:divBdr>
        <w:top w:val="none" w:sz="0" w:space="0" w:color="auto"/>
        <w:left w:val="none" w:sz="0" w:space="0" w:color="auto"/>
        <w:bottom w:val="none" w:sz="0" w:space="0" w:color="auto"/>
        <w:right w:val="none" w:sz="0" w:space="0" w:color="auto"/>
      </w:divBdr>
    </w:div>
    <w:div w:id="219481159">
      <w:bodyDiv w:val="1"/>
      <w:marLeft w:val="0"/>
      <w:marRight w:val="0"/>
      <w:marTop w:val="0"/>
      <w:marBottom w:val="0"/>
      <w:divBdr>
        <w:top w:val="none" w:sz="0" w:space="0" w:color="auto"/>
        <w:left w:val="none" w:sz="0" w:space="0" w:color="auto"/>
        <w:bottom w:val="none" w:sz="0" w:space="0" w:color="auto"/>
        <w:right w:val="none" w:sz="0" w:space="0" w:color="auto"/>
      </w:divBdr>
    </w:div>
    <w:div w:id="260650216">
      <w:bodyDiv w:val="1"/>
      <w:marLeft w:val="0"/>
      <w:marRight w:val="0"/>
      <w:marTop w:val="0"/>
      <w:marBottom w:val="0"/>
      <w:divBdr>
        <w:top w:val="none" w:sz="0" w:space="0" w:color="auto"/>
        <w:left w:val="none" w:sz="0" w:space="0" w:color="auto"/>
        <w:bottom w:val="none" w:sz="0" w:space="0" w:color="auto"/>
        <w:right w:val="none" w:sz="0" w:space="0" w:color="auto"/>
      </w:divBdr>
    </w:div>
    <w:div w:id="387533944">
      <w:bodyDiv w:val="1"/>
      <w:marLeft w:val="0"/>
      <w:marRight w:val="0"/>
      <w:marTop w:val="0"/>
      <w:marBottom w:val="0"/>
      <w:divBdr>
        <w:top w:val="none" w:sz="0" w:space="0" w:color="auto"/>
        <w:left w:val="none" w:sz="0" w:space="0" w:color="auto"/>
        <w:bottom w:val="none" w:sz="0" w:space="0" w:color="auto"/>
        <w:right w:val="none" w:sz="0" w:space="0" w:color="auto"/>
      </w:divBdr>
    </w:div>
    <w:div w:id="465660993">
      <w:bodyDiv w:val="1"/>
      <w:marLeft w:val="0"/>
      <w:marRight w:val="0"/>
      <w:marTop w:val="0"/>
      <w:marBottom w:val="0"/>
      <w:divBdr>
        <w:top w:val="none" w:sz="0" w:space="0" w:color="auto"/>
        <w:left w:val="none" w:sz="0" w:space="0" w:color="auto"/>
        <w:bottom w:val="none" w:sz="0" w:space="0" w:color="auto"/>
        <w:right w:val="none" w:sz="0" w:space="0" w:color="auto"/>
      </w:divBdr>
    </w:div>
    <w:div w:id="486362765">
      <w:bodyDiv w:val="1"/>
      <w:marLeft w:val="0"/>
      <w:marRight w:val="0"/>
      <w:marTop w:val="0"/>
      <w:marBottom w:val="0"/>
      <w:divBdr>
        <w:top w:val="none" w:sz="0" w:space="0" w:color="auto"/>
        <w:left w:val="none" w:sz="0" w:space="0" w:color="auto"/>
        <w:bottom w:val="none" w:sz="0" w:space="0" w:color="auto"/>
        <w:right w:val="none" w:sz="0" w:space="0" w:color="auto"/>
      </w:divBdr>
    </w:div>
    <w:div w:id="494077052">
      <w:bodyDiv w:val="1"/>
      <w:marLeft w:val="0"/>
      <w:marRight w:val="0"/>
      <w:marTop w:val="0"/>
      <w:marBottom w:val="0"/>
      <w:divBdr>
        <w:top w:val="none" w:sz="0" w:space="0" w:color="auto"/>
        <w:left w:val="none" w:sz="0" w:space="0" w:color="auto"/>
        <w:bottom w:val="none" w:sz="0" w:space="0" w:color="auto"/>
        <w:right w:val="none" w:sz="0" w:space="0" w:color="auto"/>
      </w:divBdr>
    </w:div>
    <w:div w:id="524026167">
      <w:bodyDiv w:val="1"/>
      <w:marLeft w:val="0"/>
      <w:marRight w:val="0"/>
      <w:marTop w:val="0"/>
      <w:marBottom w:val="0"/>
      <w:divBdr>
        <w:top w:val="none" w:sz="0" w:space="0" w:color="auto"/>
        <w:left w:val="none" w:sz="0" w:space="0" w:color="auto"/>
        <w:bottom w:val="none" w:sz="0" w:space="0" w:color="auto"/>
        <w:right w:val="none" w:sz="0" w:space="0" w:color="auto"/>
      </w:divBdr>
    </w:div>
    <w:div w:id="833453220">
      <w:bodyDiv w:val="1"/>
      <w:marLeft w:val="0"/>
      <w:marRight w:val="0"/>
      <w:marTop w:val="0"/>
      <w:marBottom w:val="0"/>
      <w:divBdr>
        <w:top w:val="none" w:sz="0" w:space="0" w:color="auto"/>
        <w:left w:val="none" w:sz="0" w:space="0" w:color="auto"/>
        <w:bottom w:val="none" w:sz="0" w:space="0" w:color="auto"/>
        <w:right w:val="none" w:sz="0" w:space="0" w:color="auto"/>
      </w:divBdr>
    </w:div>
    <w:div w:id="837111206">
      <w:bodyDiv w:val="1"/>
      <w:marLeft w:val="0"/>
      <w:marRight w:val="0"/>
      <w:marTop w:val="0"/>
      <w:marBottom w:val="0"/>
      <w:divBdr>
        <w:top w:val="none" w:sz="0" w:space="0" w:color="auto"/>
        <w:left w:val="none" w:sz="0" w:space="0" w:color="auto"/>
        <w:bottom w:val="none" w:sz="0" w:space="0" w:color="auto"/>
        <w:right w:val="none" w:sz="0" w:space="0" w:color="auto"/>
      </w:divBdr>
    </w:div>
    <w:div w:id="873929036">
      <w:bodyDiv w:val="1"/>
      <w:marLeft w:val="0"/>
      <w:marRight w:val="0"/>
      <w:marTop w:val="0"/>
      <w:marBottom w:val="0"/>
      <w:divBdr>
        <w:top w:val="none" w:sz="0" w:space="0" w:color="auto"/>
        <w:left w:val="none" w:sz="0" w:space="0" w:color="auto"/>
        <w:bottom w:val="none" w:sz="0" w:space="0" w:color="auto"/>
        <w:right w:val="none" w:sz="0" w:space="0" w:color="auto"/>
      </w:divBdr>
    </w:div>
    <w:div w:id="929511786">
      <w:bodyDiv w:val="1"/>
      <w:marLeft w:val="0"/>
      <w:marRight w:val="0"/>
      <w:marTop w:val="0"/>
      <w:marBottom w:val="0"/>
      <w:divBdr>
        <w:top w:val="none" w:sz="0" w:space="0" w:color="auto"/>
        <w:left w:val="none" w:sz="0" w:space="0" w:color="auto"/>
        <w:bottom w:val="none" w:sz="0" w:space="0" w:color="auto"/>
        <w:right w:val="none" w:sz="0" w:space="0" w:color="auto"/>
      </w:divBdr>
    </w:div>
    <w:div w:id="973019204">
      <w:bodyDiv w:val="1"/>
      <w:marLeft w:val="0"/>
      <w:marRight w:val="0"/>
      <w:marTop w:val="0"/>
      <w:marBottom w:val="0"/>
      <w:divBdr>
        <w:top w:val="none" w:sz="0" w:space="0" w:color="auto"/>
        <w:left w:val="none" w:sz="0" w:space="0" w:color="auto"/>
        <w:bottom w:val="none" w:sz="0" w:space="0" w:color="auto"/>
        <w:right w:val="none" w:sz="0" w:space="0" w:color="auto"/>
      </w:divBdr>
    </w:div>
    <w:div w:id="1007050806">
      <w:bodyDiv w:val="1"/>
      <w:marLeft w:val="0"/>
      <w:marRight w:val="0"/>
      <w:marTop w:val="0"/>
      <w:marBottom w:val="0"/>
      <w:divBdr>
        <w:top w:val="none" w:sz="0" w:space="0" w:color="auto"/>
        <w:left w:val="none" w:sz="0" w:space="0" w:color="auto"/>
        <w:bottom w:val="none" w:sz="0" w:space="0" w:color="auto"/>
        <w:right w:val="none" w:sz="0" w:space="0" w:color="auto"/>
      </w:divBdr>
    </w:div>
    <w:div w:id="1140463567">
      <w:bodyDiv w:val="1"/>
      <w:marLeft w:val="0"/>
      <w:marRight w:val="0"/>
      <w:marTop w:val="0"/>
      <w:marBottom w:val="0"/>
      <w:divBdr>
        <w:top w:val="none" w:sz="0" w:space="0" w:color="auto"/>
        <w:left w:val="none" w:sz="0" w:space="0" w:color="auto"/>
        <w:bottom w:val="none" w:sz="0" w:space="0" w:color="auto"/>
        <w:right w:val="none" w:sz="0" w:space="0" w:color="auto"/>
      </w:divBdr>
      <w:divsChild>
        <w:div w:id="606543125">
          <w:marLeft w:val="994"/>
          <w:marRight w:val="0"/>
          <w:marTop w:val="0"/>
          <w:marBottom w:val="0"/>
          <w:divBdr>
            <w:top w:val="none" w:sz="0" w:space="0" w:color="auto"/>
            <w:left w:val="none" w:sz="0" w:space="0" w:color="auto"/>
            <w:bottom w:val="none" w:sz="0" w:space="0" w:color="auto"/>
            <w:right w:val="none" w:sz="0" w:space="0" w:color="auto"/>
          </w:divBdr>
        </w:div>
      </w:divsChild>
    </w:div>
    <w:div w:id="1195845996">
      <w:bodyDiv w:val="1"/>
      <w:marLeft w:val="0"/>
      <w:marRight w:val="0"/>
      <w:marTop w:val="0"/>
      <w:marBottom w:val="0"/>
      <w:divBdr>
        <w:top w:val="none" w:sz="0" w:space="0" w:color="auto"/>
        <w:left w:val="none" w:sz="0" w:space="0" w:color="auto"/>
        <w:bottom w:val="none" w:sz="0" w:space="0" w:color="auto"/>
        <w:right w:val="none" w:sz="0" w:space="0" w:color="auto"/>
      </w:divBdr>
    </w:div>
    <w:div w:id="1256091817">
      <w:bodyDiv w:val="1"/>
      <w:marLeft w:val="0"/>
      <w:marRight w:val="0"/>
      <w:marTop w:val="0"/>
      <w:marBottom w:val="0"/>
      <w:divBdr>
        <w:top w:val="none" w:sz="0" w:space="0" w:color="auto"/>
        <w:left w:val="none" w:sz="0" w:space="0" w:color="auto"/>
        <w:bottom w:val="none" w:sz="0" w:space="0" w:color="auto"/>
        <w:right w:val="none" w:sz="0" w:space="0" w:color="auto"/>
      </w:divBdr>
      <w:divsChild>
        <w:div w:id="2031031813">
          <w:marLeft w:val="994"/>
          <w:marRight w:val="0"/>
          <w:marTop w:val="0"/>
          <w:marBottom w:val="0"/>
          <w:divBdr>
            <w:top w:val="none" w:sz="0" w:space="0" w:color="auto"/>
            <w:left w:val="none" w:sz="0" w:space="0" w:color="auto"/>
            <w:bottom w:val="none" w:sz="0" w:space="0" w:color="auto"/>
            <w:right w:val="none" w:sz="0" w:space="0" w:color="auto"/>
          </w:divBdr>
        </w:div>
      </w:divsChild>
    </w:div>
    <w:div w:id="1361777880">
      <w:bodyDiv w:val="1"/>
      <w:marLeft w:val="0"/>
      <w:marRight w:val="0"/>
      <w:marTop w:val="0"/>
      <w:marBottom w:val="0"/>
      <w:divBdr>
        <w:top w:val="none" w:sz="0" w:space="0" w:color="auto"/>
        <w:left w:val="none" w:sz="0" w:space="0" w:color="auto"/>
        <w:bottom w:val="none" w:sz="0" w:space="0" w:color="auto"/>
        <w:right w:val="none" w:sz="0" w:space="0" w:color="auto"/>
      </w:divBdr>
    </w:div>
    <w:div w:id="1394695919">
      <w:bodyDiv w:val="1"/>
      <w:marLeft w:val="0"/>
      <w:marRight w:val="0"/>
      <w:marTop w:val="0"/>
      <w:marBottom w:val="0"/>
      <w:divBdr>
        <w:top w:val="none" w:sz="0" w:space="0" w:color="auto"/>
        <w:left w:val="none" w:sz="0" w:space="0" w:color="auto"/>
        <w:bottom w:val="none" w:sz="0" w:space="0" w:color="auto"/>
        <w:right w:val="none" w:sz="0" w:space="0" w:color="auto"/>
      </w:divBdr>
    </w:div>
    <w:div w:id="1515076553">
      <w:bodyDiv w:val="1"/>
      <w:marLeft w:val="0"/>
      <w:marRight w:val="0"/>
      <w:marTop w:val="0"/>
      <w:marBottom w:val="0"/>
      <w:divBdr>
        <w:top w:val="none" w:sz="0" w:space="0" w:color="auto"/>
        <w:left w:val="none" w:sz="0" w:space="0" w:color="auto"/>
        <w:bottom w:val="none" w:sz="0" w:space="0" w:color="auto"/>
        <w:right w:val="none" w:sz="0" w:space="0" w:color="auto"/>
      </w:divBdr>
    </w:div>
    <w:div w:id="1566262001">
      <w:bodyDiv w:val="1"/>
      <w:marLeft w:val="0"/>
      <w:marRight w:val="0"/>
      <w:marTop w:val="0"/>
      <w:marBottom w:val="0"/>
      <w:divBdr>
        <w:top w:val="none" w:sz="0" w:space="0" w:color="auto"/>
        <w:left w:val="none" w:sz="0" w:space="0" w:color="auto"/>
        <w:bottom w:val="none" w:sz="0" w:space="0" w:color="auto"/>
        <w:right w:val="none" w:sz="0" w:space="0" w:color="auto"/>
      </w:divBdr>
    </w:div>
    <w:div w:id="1577468946">
      <w:bodyDiv w:val="1"/>
      <w:marLeft w:val="0"/>
      <w:marRight w:val="0"/>
      <w:marTop w:val="0"/>
      <w:marBottom w:val="0"/>
      <w:divBdr>
        <w:top w:val="none" w:sz="0" w:space="0" w:color="auto"/>
        <w:left w:val="none" w:sz="0" w:space="0" w:color="auto"/>
        <w:bottom w:val="none" w:sz="0" w:space="0" w:color="auto"/>
        <w:right w:val="none" w:sz="0" w:space="0" w:color="auto"/>
      </w:divBdr>
    </w:div>
    <w:div w:id="1612542329">
      <w:bodyDiv w:val="1"/>
      <w:marLeft w:val="0"/>
      <w:marRight w:val="0"/>
      <w:marTop w:val="0"/>
      <w:marBottom w:val="0"/>
      <w:divBdr>
        <w:top w:val="none" w:sz="0" w:space="0" w:color="auto"/>
        <w:left w:val="none" w:sz="0" w:space="0" w:color="auto"/>
        <w:bottom w:val="none" w:sz="0" w:space="0" w:color="auto"/>
        <w:right w:val="none" w:sz="0" w:space="0" w:color="auto"/>
      </w:divBdr>
    </w:div>
    <w:div w:id="1722483001">
      <w:bodyDiv w:val="1"/>
      <w:marLeft w:val="0"/>
      <w:marRight w:val="0"/>
      <w:marTop w:val="0"/>
      <w:marBottom w:val="0"/>
      <w:divBdr>
        <w:top w:val="none" w:sz="0" w:space="0" w:color="auto"/>
        <w:left w:val="none" w:sz="0" w:space="0" w:color="auto"/>
        <w:bottom w:val="none" w:sz="0" w:space="0" w:color="auto"/>
        <w:right w:val="none" w:sz="0" w:space="0" w:color="auto"/>
      </w:divBdr>
    </w:div>
    <w:div w:id="1837309082">
      <w:bodyDiv w:val="1"/>
      <w:marLeft w:val="0"/>
      <w:marRight w:val="0"/>
      <w:marTop w:val="0"/>
      <w:marBottom w:val="0"/>
      <w:divBdr>
        <w:top w:val="none" w:sz="0" w:space="0" w:color="auto"/>
        <w:left w:val="none" w:sz="0" w:space="0" w:color="auto"/>
        <w:bottom w:val="none" w:sz="0" w:space="0" w:color="auto"/>
        <w:right w:val="none" w:sz="0" w:space="0" w:color="auto"/>
      </w:divBdr>
      <w:divsChild>
        <w:div w:id="54087977">
          <w:marLeft w:val="994"/>
          <w:marRight w:val="0"/>
          <w:marTop w:val="0"/>
          <w:marBottom w:val="0"/>
          <w:divBdr>
            <w:top w:val="none" w:sz="0" w:space="0" w:color="auto"/>
            <w:left w:val="none" w:sz="0" w:space="0" w:color="auto"/>
            <w:bottom w:val="none" w:sz="0" w:space="0" w:color="auto"/>
            <w:right w:val="none" w:sz="0" w:space="0" w:color="auto"/>
          </w:divBdr>
        </w:div>
        <w:div w:id="1629434546">
          <w:marLeft w:val="994"/>
          <w:marRight w:val="0"/>
          <w:marTop w:val="0"/>
          <w:marBottom w:val="0"/>
          <w:divBdr>
            <w:top w:val="none" w:sz="0" w:space="0" w:color="auto"/>
            <w:left w:val="none" w:sz="0" w:space="0" w:color="auto"/>
            <w:bottom w:val="none" w:sz="0" w:space="0" w:color="auto"/>
            <w:right w:val="none" w:sz="0" w:space="0" w:color="auto"/>
          </w:divBdr>
        </w:div>
      </w:divsChild>
    </w:div>
    <w:div w:id="1855805571">
      <w:bodyDiv w:val="1"/>
      <w:marLeft w:val="0"/>
      <w:marRight w:val="0"/>
      <w:marTop w:val="0"/>
      <w:marBottom w:val="0"/>
      <w:divBdr>
        <w:top w:val="none" w:sz="0" w:space="0" w:color="auto"/>
        <w:left w:val="none" w:sz="0" w:space="0" w:color="auto"/>
        <w:bottom w:val="none" w:sz="0" w:space="0" w:color="auto"/>
        <w:right w:val="none" w:sz="0" w:space="0" w:color="auto"/>
      </w:divBdr>
      <w:divsChild>
        <w:div w:id="191695014">
          <w:marLeft w:val="1080"/>
          <w:marRight w:val="0"/>
          <w:marTop w:val="0"/>
          <w:marBottom w:val="0"/>
          <w:divBdr>
            <w:top w:val="none" w:sz="0" w:space="0" w:color="auto"/>
            <w:left w:val="none" w:sz="0" w:space="0" w:color="auto"/>
            <w:bottom w:val="none" w:sz="0" w:space="0" w:color="auto"/>
            <w:right w:val="none" w:sz="0" w:space="0" w:color="auto"/>
          </w:divBdr>
        </w:div>
        <w:div w:id="349066618">
          <w:marLeft w:val="1080"/>
          <w:marRight w:val="0"/>
          <w:marTop w:val="0"/>
          <w:marBottom w:val="0"/>
          <w:divBdr>
            <w:top w:val="none" w:sz="0" w:space="0" w:color="auto"/>
            <w:left w:val="none" w:sz="0" w:space="0" w:color="auto"/>
            <w:bottom w:val="none" w:sz="0" w:space="0" w:color="auto"/>
            <w:right w:val="none" w:sz="0" w:space="0" w:color="auto"/>
          </w:divBdr>
        </w:div>
        <w:div w:id="1120299885">
          <w:marLeft w:val="1080"/>
          <w:marRight w:val="0"/>
          <w:marTop w:val="0"/>
          <w:marBottom w:val="0"/>
          <w:divBdr>
            <w:top w:val="none" w:sz="0" w:space="0" w:color="auto"/>
            <w:left w:val="none" w:sz="0" w:space="0" w:color="auto"/>
            <w:bottom w:val="none" w:sz="0" w:space="0" w:color="auto"/>
            <w:right w:val="none" w:sz="0" w:space="0" w:color="auto"/>
          </w:divBdr>
        </w:div>
        <w:div w:id="1360205404">
          <w:marLeft w:val="1080"/>
          <w:marRight w:val="0"/>
          <w:marTop w:val="0"/>
          <w:marBottom w:val="0"/>
          <w:divBdr>
            <w:top w:val="none" w:sz="0" w:space="0" w:color="auto"/>
            <w:left w:val="none" w:sz="0" w:space="0" w:color="auto"/>
            <w:bottom w:val="none" w:sz="0" w:space="0" w:color="auto"/>
            <w:right w:val="none" w:sz="0" w:space="0" w:color="auto"/>
          </w:divBdr>
        </w:div>
      </w:divsChild>
    </w:div>
    <w:div w:id="1883592696">
      <w:bodyDiv w:val="1"/>
      <w:marLeft w:val="0"/>
      <w:marRight w:val="0"/>
      <w:marTop w:val="0"/>
      <w:marBottom w:val="0"/>
      <w:divBdr>
        <w:top w:val="none" w:sz="0" w:space="0" w:color="auto"/>
        <w:left w:val="none" w:sz="0" w:space="0" w:color="auto"/>
        <w:bottom w:val="none" w:sz="0" w:space="0" w:color="auto"/>
        <w:right w:val="none" w:sz="0" w:space="0" w:color="auto"/>
      </w:divBdr>
    </w:div>
    <w:div w:id="1975401203">
      <w:bodyDiv w:val="1"/>
      <w:marLeft w:val="0"/>
      <w:marRight w:val="0"/>
      <w:marTop w:val="0"/>
      <w:marBottom w:val="0"/>
      <w:divBdr>
        <w:top w:val="none" w:sz="0" w:space="0" w:color="auto"/>
        <w:left w:val="none" w:sz="0" w:space="0" w:color="auto"/>
        <w:bottom w:val="none" w:sz="0" w:space="0" w:color="auto"/>
        <w:right w:val="none" w:sz="0" w:space="0" w:color="auto"/>
      </w:divBdr>
    </w:div>
    <w:div w:id="2018920780">
      <w:bodyDiv w:val="1"/>
      <w:marLeft w:val="0"/>
      <w:marRight w:val="0"/>
      <w:marTop w:val="0"/>
      <w:marBottom w:val="0"/>
      <w:divBdr>
        <w:top w:val="none" w:sz="0" w:space="0" w:color="auto"/>
        <w:left w:val="none" w:sz="0" w:space="0" w:color="auto"/>
        <w:bottom w:val="none" w:sz="0" w:space="0" w:color="auto"/>
        <w:right w:val="none" w:sz="0" w:space="0" w:color="auto"/>
      </w:divBdr>
    </w:div>
    <w:div w:id="2031450171">
      <w:bodyDiv w:val="1"/>
      <w:marLeft w:val="0"/>
      <w:marRight w:val="0"/>
      <w:marTop w:val="0"/>
      <w:marBottom w:val="0"/>
      <w:divBdr>
        <w:top w:val="none" w:sz="0" w:space="0" w:color="auto"/>
        <w:left w:val="none" w:sz="0" w:space="0" w:color="auto"/>
        <w:bottom w:val="none" w:sz="0" w:space="0" w:color="auto"/>
        <w:right w:val="none" w:sz="0" w:space="0" w:color="auto"/>
      </w:divBdr>
    </w:div>
    <w:div w:id="210306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BC85E273CC840B565BE9DF680DABD" ma:contentTypeVersion="17" ma:contentTypeDescription="Create a new document." ma:contentTypeScope="" ma:versionID="5326914fc4cc060d176cfd5feb69b962">
  <xsd:schema xmlns:xsd="http://www.w3.org/2001/XMLSchema" xmlns:xs="http://www.w3.org/2001/XMLSchema" xmlns:p="http://schemas.microsoft.com/office/2006/metadata/properties" xmlns:ns1="http://schemas.microsoft.com/sharepoint/v3" xmlns:ns3="c26a9834-6bfc-43c7-8d15-1d3f1b3d0e77" xmlns:ns4="8bdf327c-6bb1-41b8-9bea-793971d7e6a9" targetNamespace="http://schemas.microsoft.com/office/2006/metadata/properties" ma:root="true" ma:fieldsID="bd660c8608766c50fe1c160fca97e003" ns1:_="" ns3:_="" ns4:_="">
    <xsd:import namespace="http://schemas.microsoft.com/sharepoint/v3"/>
    <xsd:import namespace="c26a9834-6bfc-43c7-8d15-1d3f1b3d0e77"/>
    <xsd:import namespace="8bdf327c-6bb1-41b8-9bea-793971d7e6a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a9834-6bfc-43c7-8d15-1d3f1b3d0e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df327c-6bb1-41b8-9bea-793971d7e6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FDB0-55B8-4277-98BD-B0954D455E50}">
  <ds:schemaRefs>
    <ds:schemaRef ds:uri="http://schemas.microsoft.com/sharepoint/v3/contenttype/forms"/>
  </ds:schemaRefs>
</ds:datastoreItem>
</file>

<file path=customXml/itemProps2.xml><?xml version="1.0" encoding="utf-8"?>
<ds:datastoreItem xmlns:ds="http://schemas.openxmlformats.org/officeDocument/2006/customXml" ds:itemID="{DF378DBF-F690-4783-A950-1E3982A98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6a9834-6bfc-43c7-8d15-1d3f1b3d0e77"/>
    <ds:schemaRef ds:uri="8bdf327c-6bb1-41b8-9bea-793971d7e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B9359D-1D09-4A9E-9895-22D6E07105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4B0215E-9A99-2548-B21C-F1AE3A95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8789</Words>
  <Characters>52037</Characters>
  <Application>Microsoft Office Word</Application>
  <DocSecurity>0</DocSecurity>
  <Lines>825</Lines>
  <Paragraphs>192</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60634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Naiomi Metallic</dc:creator>
  <cp:lastModifiedBy>David Schneiderman</cp:lastModifiedBy>
  <cp:revision>2</cp:revision>
  <dcterms:created xsi:type="dcterms:W3CDTF">2020-08-25T17:22:00Z</dcterms:created>
  <dcterms:modified xsi:type="dcterms:W3CDTF">2020-08-25T17:22:00Z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0x010100777BC85E273CC840B565BE9DF680DABD</vt:lpwstr>
  </property>
</Properties>
</file>