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BB1" w:rsidRDefault="00375BB1" w:rsidP="00375BB1">
      <w:pPr>
        <w:shd w:val="clear" w:color="auto" w:fill="E7E7E2"/>
        <w:spacing w:after="0" w:line="240" w:lineRule="auto"/>
        <w:outlineLvl w:val="0"/>
        <w:rPr>
          <w:rFonts w:ascii="Tahoma" w:eastAsia="Times New Roman" w:hAnsi="Tahoma" w:cs="Tahoma"/>
          <w:color w:val="000000"/>
          <w:kern w:val="36"/>
          <w:sz w:val="45"/>
          <w:szCs w:val="45"/>
          <w:lang w:eastAsia="en-CA"/>
        </w:rPr>
      </w:pPr>
      <w:r>
        <w:rPr>
          <w:rFonts w:ascii="Tahoma" w:eastAsia="Times New Roman" w:hAnsi="Tahoma" w:cs="Tahoma"/>
          <w:color w:val="000000"/>
          <w:kern w:val="36"/>
          <w:sz w:val="45"/>
          <w:szCs w:val="45"/>
          <w:lang w:eastAsia="en-CA"/>
        </w:rPr>
        <w:t>PDAC MINING SHOW 2017 TORONTO</w:t>
      </w:r>
    </w:p>
    <w:p w:rsidR="00375BB1" w:rsidRDefault="00375BB1" w:rsidP="00375BB1">
      <w:pPr>
        <w:shd w:val="clear" w:color="auto" w:fill="E7E7E2"/>
        <w:spacing w:after="0" w:line="240" w:lineRule="auto"/>
        <w:outlineLvl w:val="0"/>
        <w:rPr>
          <w:rFonts w:ascii="Tahoma" w:eastAsia="Times New Roman" w:hAnsi="Tahoma" w:cs="Tahoma"/>
          <w:color w:val="000000"/>
          <w:kern w:val="36"/>
          <w:sz w:val="45"/>
          <w:szCs w:val="45"/>
          <w:lang w:eastAsia="en-CA"/>
        </w:rPr>
      </w:pPr>
      <w:r>
        <w:rPr>
          <w:rFonts w:ascii="Tahoma" w:eastAsia="Times New Roman" w:hAnsi="Tahoma" w:cs="Tahoma"/>
          <w:color w:val="000000"/>
          <w:kern w:val="36"/>
          <w:sz w:val="45"/>
          <w:szCs w:val="45"/>
          <w:lang w:eastAsia="en-CA"/>
        </w:rPr>
        <w:t>METRO TORONTO CONVENTION CENTRE</w:t>
      </w:r>
    </w:p>
    <w:p w:rsidR="00375BB1" w:rsidRDefault="00375BB1" w:rsidP="00375BB1">
      <w:pPr>
        <w:shd w:val="clear" w:color="auto" w:fill="E7E7E2"/>
        <w:spacing w:after="0" w:line="240" w:lineRule="auto"/>
        <w:outlineLvl w:val="0"/>
        <w:rPr>
          <w:rFonts w:ascii="Tahoma" w:eastAsia="Times New Roman" w:hAnsi="Tahoma" w:cs="Tahoma"/>
          <w:color w:val="000000"/>
          <w:kern w:val="36"/>
          <w:sz w:val="45"/>
          <w:szCs w:val="45"/>
          <w:vertAlign w:val="superscript"/>
          <w:lang w:eastAsia="en-CA"/>
        </w:rPr>
      </w:pPr>
      <w:r>
        <w:rPr>
          <w:rFonts w:ascii="Tahoma" w:eastAsia="Times New Roman" w:hAnsi="Tahoma" w:cs="Tahoma"/>
          <w:color w:val="000000"/>
          <w:kern w:val="36"/>
          <w:sz w:val="45"/>
          <w:szCs w:val="45"/>
          <w:lang w:eastAsia="en-CA"/>
        </w:rPr>
        <w:t>MARCH 5</w:t>
      </w:r>
      <w:r w:rsidRPr="00375BB1">
        <w:rPr>
          <w:rFonts w:ascii="Tahoma" w:eastAsia="Times New Roman" w:hAnsi="Tahoma" w:cs="Tahoma"/>
          <w:color w:val="000000"/>
          <w:kern w:val="36"/>
          <w:sz w:val="45"/>
          <w:szCs w:val="45"/>
          <w:vertAlign w:val="superscript"/>
          <w:lang w:eastAsia="en-CA"/>
        </w:rPr>
        <w:t>th</w:t>
      </w:r>
      <w:r>
        <w:rPr>
          <w:rFonts w:ascii="Tahoma" w:eastAsia="Times New Roman" w:hAnsi="Tahoma" w:cs="Tahoma"/>
          <w:color w:val="000000"/>
          <w:kern w:val="36"/>
          <w:sz w:val="45"/>
          <w:szCs w:val="45"/>
          <w:lang w:eastAsia="en-CA"/>
        </w:rPr>
        <w:t xml:space="preserve"> - 8</w:t>
      </w:r>
      <w:r w:rsidRPr="00375BB1">
        <w:rPr>
          <w:rFonts w:ascii="Tahoma" w:eastAsia="Times New Roman" w:hAnsi="Tahoma" w:cs="Tahoma"/>
          <w:color w:val="000000"/>
          <w:kern w:val="36"/>
          <w:sz w:val="45"/>
          <w:szCs w:val="45"/>
          <w:vertAlign w:val="superscript"/>
          <w:lang w:eastAsia="en-CA"/>
        </w:rPr>
        <w:t>th</w:t>
      </w:r>
    </w:p>
    <w:p w:rsidR="00375BB1" w:rsidRDefault="00375BB1" w:rsidP="00375BB1">
      <w:pPr>
        <w:shd w:val="clear" w:color="auto" w:fill="E7E7E2"/>
        <w:spacing w:after="0" w:line="240" w:lineRule="auto"/>
        <w:outlineLvl w:val="0"/>
        <w:rPr>
          <w:rFonts w:ascii="Tahoma" w:eastAsia="Times New Roman" w:hAnsi="Tahoma" w:cs="Tahoma"/>
          <w:color w:val="000000"/>
          <w:kern w:val="36"/>
          <w:sz w:val="45"/>
          <w:szCs w:val="45"/>
          <w:lang w:eastAsia="en-CA"/>
        </w:rPr>
      </w:pPr>
    </w:p>
    <w:p w:rsidR="00375BB1" w:rsidRDefault="00375BB1" w:rsidP="00375BB1">
      <w:pPr>
        <w:shd w:val="clear" w:color="auto" w:fill="E7E7E2"/>
        <w:spacing w:after="0" w:line="240" w:lineRule="auto"/>
        <w:jc w:val="center"/>
        <w:outlineLvl w:val="0"/>
        <w:rPr>
          <w:rFonts w:ascii="Tahoma" w:eastAsia="Times New Roman" w:hAnsi="Tahoma" w:cs="Tahoma"/>
          <w:color w:val="000000"/>
          <w:kern w:val="36"/>
          <w:sz w:val="45"/>
          <w:szCs w:val="45"/>
          <w:lang w:eastAsia="en-CA"/>
        </w:rPr>
      </w:pPr>
      <w:r>
        <w:rPr>
          <w:noProof/>
          <w:lang w:eastAsia="en-CA"/>
        </w:rPr>
        <w:drawing>
          <wp:inline distT="0" distB="0" distL="0" distR="0" wp14:anchorId="11097B28" wp14:editId="6A7FE251">
            <wp:extent cx="3642360" cy="79579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656895" cy="798969"/>
                    </a:xfrm>
                    <a:prstGeom prst="rect">
                      <a:avLst/>
                    </a:prstGeom>
                  </pic:spPr>
                </pic:pic>
              </a:graphicData>
            </a:graphic>
          </wp:inline>
        </w:drawing>
      </w:r>
    </w:p>
    <w:p w:rsidR="00375BB1" w:rsidRDefault="00375BB1" w:rsidP="00375BB1">
      <w:pPr>
        <w:shd w:val="clear" w:color="auto" w:fill="E7E7E2"/>
        <w:spacing w:after="0" w:line="240" w:lineRule="auto"/>
        <w:jc w:val="center"/>
        <w:outlineLvl w:val="0"/>
        <w:rPr>
          <w:rFonts w:ascii="Tahoma" w:eastAsia="Times New Roman" w:hAnsi="Tahoma" w:cs="Tahoma"/>
          <w:color w:val="000000"/>
          <w:kern w:val="36"/>
          <w:sz w:val="45"/>
          <w:szCs w:val="45"/>
          <w:lang w:eastAsia="en-CA"/>
        </w:rPr>
      </w:pPr>
      <w:r>
        <w:rPr>
          <w:noProof/>
          <w:lang w:eastAsia="en-CA"/>
        </w:rPr>
        <w:drawing>
          <wp:inline distT="0" distB="0" distL="0" distR="0" wp14:anchorId="4D96384E" wp14:editId="1EA5DC5A">
            <wp:extent cx="3634740" cy="675688"/>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712799" cy="690199"/>
                    </a:xfrm>
                    <a:prstGeom prst="rect">
                      <a:avLst/>
                    </a:prstGeom>
                  </pic:spPr>
                </pic:pic>
              </a:graphicData>
            </a:graphic>
          </wp:inline>
        </w:drawing>
      </w:r>
    </w:p>
    <w:p w:rsidR="00375BB1" w:rsidRDefault="00375BB1" w:rsidP="000D4949">
      <w:pPr>
        <w:shd w:val="clear" w:color="auto" w:fill="E7E7E2"/>
        <w:spacing w:before="100" w:beforeAutospacing="1" w:after="100" w:afterAutospacing="1" w:line="240" w:lineRule="auto"/>
        <w:outlineLvl w:val="0"/>
        <w:rPr>
          <w:rFonts w:ascii="Tahoma" w:eastAsia="Times New Roman" w:hAnsi="Tahoma" w:cs="Tahoma"/>
          <w:color w:val="000000"/>
          <w:kern w:val="36"/>
          <w:sz w:val="45"/>
          <w:szCs w:val="45"/>
          <w:lang w:eastAsia="en-CA"/>
        </w:rPr>
      </w:pPr>
      <w:r>
        <w:rPr>
          <w:rFonts w:ascii="Tahoma" w:eastAsia="Times New Roman" w:hAnsi="Tahoma" w:cs="Tahoma"/>
          <w:color w:val="000000"/>
          <w:kern w:val="36"/>
          <w:sz w:val="45"/>
          <w:szCs w:val="45"/>
          <w:lang w:eastAsia="en-CA"/>
        </w:rPr>
        <w:t>Montt Group presents:</w:t>
      </w:r>
    </w:p>
    <w:p w:rsidR="000D4949" w:rsidRPr="000D4949" w:rsidRDefault="000D4949" w:rsidP="000D4949">
      <w:pPr>
        <w:shd w:val="clear" w:color="auto" w:fill="E7E7E2"/>
        <w:spacing w:before="100" w:beforeAutospacing="1" w:after="100" w:afterAutospacing="1" w:line="240" w:lineRule="auto"/>
        <w:outlineLvl w:val="0"/>
        <w:rPr>
          <w:rFonts w:ascii="Tahoma" w:eastAsia="Times New Roman" w:hAnsi="Tahoma" w:cs="Tahoma"/>
          <w:color w:val="000000"/>
          <w:kern w:val="36"/>
          <w:sz w:val="45"/>
          <w:szCs w:val="45"/>
          <w:lang w:eastAsia="en-CA"/>
        </w:rPr>
      </w:pPr>
      <w:r w:rsidRPr="000D4949">
        <w:rPr>
          <w:rFonts w:ascii="Tahoma" w:eastAsia="Times New Roman" w:hAnsi="Tahoma" w:cs="Tahoma"/>
          <w:color w:val="000000"/>
          <w:kern w:val="36"/>
          <w:sz w:val="45"/>
          <w:szCs w:val="45"/>
          <w:lang w:eastAsia="en-CA"/>
        </w:rPr>
        <w:t xml:space="preserve">Regulatory Framework for Exporting Mining Services to </w:t>
      </w:r>
      <w:proofErr w:type="spellStart"/>
      <w:r w:rsidRPr="000D4949">
        <w:rPr>
          <w:rFonts w:ascii="Tahoma" w:eastAsia="Times New Roman" w:hAnsi="Tahoma" w:cs="Tahoma"/>
          <w:color w:val="000000"/>
          <w:kern w:val="36"/>
          <w:sz w:val="45"/>
          <w:szCs w:val="45"/>
          <w:lang w:eastAsia="en-CA"/>
        </w:rPr>
        <w:t>Latam</w:t>
      </w:r>
      <w:proofErr w:type="spellEnd"/>
      <w:r w:rsidRPr="000D4949">
        <w:rPr>
          <w:rFonts w:ascii="Tahoma" w:eastAsia="Times New Roman" w:hAnsi="Tahoma" w:cs="Tahoma"/>
          <w:color w:val="000000"/>
          <w:kern w:val="36"/>
          <w:sz w:val="45"/>
          <w:szCs w:val="45"/>
          <w:lang w:eastAsia="en-CA"/>
        </w:rPr>
        <w:t xml:space="preserve"> Countries: Argentina, Chile, Colombia and Peru, Montt Group SpA, </w:t>
      </w:r>
      <w:proofErr w:type="spellStart"/>
      <w:r w:rsidRPr="000D4949">
        <w:rPr>
          <w:rFonts w:ascii="Tahoma" w:eastAsia="Times New Roman" w:hAnsi="Tahoma" w:cs="Tahoma"/>
          <w:color w:val="000000"/>
          <w:kern w:val="36"/>
          <w:sz w:val="45"/>
          <w:szCs w:val="45"/>
          <w:lang w:eastAsia="en-CA"/>
        </w:rPr>
        <w:t>Latam</w:t>
      </w:r>
      <w:proofErr w:type="spellEnd"/>
      <w:r w:rsidRPr="000D4949">
        <w:rPr>
          <w:rFonts w:ascii="Tahoma" w:eastAsia="Times New Roman" w:hAnsi="Tahoma" w:cs="Tahoma"/>
          <w:color w:val="000000"/>
          <w:kern w:val="36"/>
          <w:sz w:val="45"/>
          <w:szCs w:val="45"/>
          <w:lang w:eastAsia="en-CA"/>
        </w:rPr>
        <w:t xml:space="preserve"> Professional Services </w:t>
      </w:r>
    </w:p>
    <w:p w:rsidR="000D4949" w:rsidRPr="000D4949" w:rsidRDefault="000D4949" w:rsidP="000D4949">
      <w:pPr>
        <w:shd w:val="clear" w:color="auto" w:fill="E7E7E2"/>
        <w:spacing w:after="0" w:line="240" w:lineRule="auto"/>
        <w:rPr>
          <w:rFonts w:ascii="Tahoma" w:eastAsia="Times New Roman" w:hAnsi="Tahoma" w:cs="Tahoma"/>
          <w:color w:val="000000"/>
          <w:sz w:val="21"/>
          <w:szCs w:val="21"/>
          <w:lang w:eastAsia="en-CA"/>
        </w:rPr>
      </w:pPr>
      <w:r w:rsidRPr="000D4949">
        <w:rPr>
          <w:rFonts w:ascii="Tahoma" w:eastAsia="Times New Roman" w:hAnsi="Tahoma" w:cs="Tahoma"/>
          <w:color w:val="000000"/>
          <w:sz w:val="21"/>
          <w:szCs w:val="21"/>
          <w:lang w:eastAsia="en-CA"/>
        </w:rPr>
        <w:t>Location: </w:t>
      </w:r>
      <w:hyperlink r:id="rId6" w:history="1">
        <w:r w:rsidRPr="000D4949">
          <w:rPr>
            <w:rFonts w:ascii="Tahoma" w:eastAsia="Times New Roman" w:hAnsi="Tahoma" w:cs="Tahoma"/>
            <w:color w:val="000000"/>
            <w:sz w:val="21"/>
            <w:szCs w:val="21"/>
            <w:u w:val="single"/>
            <w:lang w:eastAsia="en-CA"/>
          </w:rPr>
          <w:t>Room 206B</w:t>
        </w:r>
      </w:hyperlink>
      <w:r w:rsidR="00375BB1">
        <w:rPr>
          <w:rFonts w:ascii="Tahoma" w:eastAsia="Times New Roman" w:hAnsi="Tahoma" w:cs="Tahoma"/>
          <w:color w:val="000000"/>
          <w:sz w:val="21"/>
          <w:szCs w:val="21"/>
          <w:u w:val="single"/>
          <w:lang w:eastAsia="en-CA"/>
        </w:rPr>
        <w:t>, METRO TORONTO CONVENTION CENTRE NORTH (FRONT STREET)</w:t>
      </w:r>
    </w:p>
    <w:p w:rsidR="000D4949" w:rsidRPr="000D4949" w:rsidRDefault="000D4949" w:rsidP="000D4949">
      <w:pPr>
        <w:shd w:val="clear" w:color="auto" w:fill="E7E7E2"/>
        <w:spacing w:after="0" w:line="240" w:lineRule="auto"/>
        <w:rPr>
          <w:rFonts w:ascii="Tahoma" w:eastAsia="Times New Roman" w:hAnsi="Tahoma" w:cs="Tahoma"/>
          <w:b/>
          <w:bCs/>
          <w:color w:val="000000"/>
          <w:sz w:val="21"/>
          <w:szCs w:val="21"/>
          <w:lang w:eastAsia="en-CA"/>
        </w:rPr>
      </w:pPr>
      <w:r w:rsidRPr="000D4949">
        <w:rPr>
          <w:rFonts w:ascii="Tahoma" w:eastAsia="Times New Roman" w:hAnsi="Tahoma" w:cs="Tahoma"/>
          <w:b/>
          <w:bCs/>
          <w:color w:val="000000"/>
          <w:sz w:val="21"/>
          <w:szCs w:val="21"/>
          <w:lang w:eastAsia="en-CA"/>
        </w:rPr>
        <w:t>Wednesday, March 8, 2017 </w:t>
      </w:r>
      <w:r w:rsidRPr="000D4949">
        <w:rPr>
          <w:rFonts w:ascii="Tahoma" w:eastAsia="Times New Roman" w:hAnsi="Tahoma" w:cs="Tahoma"/>
          <w:b/>
          <w:bCs/>
          <w:color w:val="000000"/>
          <w:sz w:val="21"/>
          <w:szCs w:val="21"/>
          <w:lang w:eastAsia="en-CA"/>
        </w:rPr>
        <w:br/>
        <w:t>8:</w:t>
      </w:r>
      <w:r w:rsidR="00BF6F04">
        <w:rPr>
          <w:rFonts w:ascii="Tahoma" w:eastAsia="Times New Roman" w:hAnsi="Tahoma" w:cs="Tahoma"/>
          <w:b/>
          <w:bCs/>
          <w:color w:val="000000"/>
          <w:sz w:val="21"/>
          <w:szCs w:val="21"/>
          <w:lang w:eastAsia="en-CA"/>
        </w:rPr>
        <w:t>00 AM - 12:00 PM</w:t>
      </w:r>
    </w:p>
    <w:p w:rsidR="00BF6F04" w:rsidRDefault="00BF6F04" w:rsidP="000D4949">
      <w:pPr>
        <w:shd w:val="clear" w:color="auto" w:fill="E7E7E2"/>
        <w:spacing w:after="0" w:line="240" w:lineRule="auto"/>
        <w:rPr>
          <w:rFonts w:ascii="Tahoma" w:eastAsia="Times New Roman" w:hAnsi="Tahoma" w:cs="Tahoma"/>
          <w:color w:val="000000"/>
          <w:sz w:val="21"/>
          <w:szCs w:val="21"/>
          <w:lang w:eastAsia="en-CA"/>
        </w:rPr>
      </w:pPr>
    </w:p>
    <w:p w:rsidR="00375BB1" w:rsidRDefault="000D4949" w:rsidP="000D4949">
      <w:pPr>
        <w:shd w:val="clear" w:color="auto" w:fill="E7E7E2"/>
        <w:spacing w:after="0" w:line="240" w:lineRule="auto"/>
        <w:rPr>
          <w:rFonts w:ascii="Tahoma" w:eastAsia="Times New Roman" w:hAnsi="Tahoma" w:cs="Tahoma"/>
          <w:color w:val="000000"/>
          <w:sz w:val="21"/>
          <w:szCs w:val="21"/>
          <w:lang w:eastAsia="en-CA"/>
        </w:rPr>
      </w:pPr>
      <w:r w:rsidRPr="000D4949">
        <w:rPr>
          <w:rFonts w:ascii="Tahoma" w:eastAsia="Times New Roman" w:hAnsi="Tahoma" w:cs="Tahoma"/>
          <w:color w:val="000000"/>
          <w:sz w:val="21"/>
          <w:szCs w:val="21"/>
          <w:lang w:eastAsia="en-CA"/>
        </w:rPr>
        <w:t>Several key topics that are vital for a successful sale of services will be examined: </w:t>
      </w:r>
      <w:r w:rsidRPr="000D4949">
        <w:rPr>
          <w:rFonts w:ascii="Tahoma" w:eastAsia="Times New Roman" w:hAnsi="Tahoma" w:cs="Tahoma"/>
          <w:color w:val="000000"/>
          <w:sz w:val="21"/>
          <w:szCs w:val="21"/>
          <w:lang w:eastAsia="en-CA"/>
        </w:rPr>
        <w:br/>
        <w:t>1. Legal structure: </w:t>
      </w:r>
      <w:r w:rsidRPr="000D4949">
        <w:rPr>
          <w:rFonts w:ascii="Tahoma" w:eastAsia="Times New Roman" w:hAnsi="Tahoma" w:cs="Tahoma"/>
          <w:color w:val="000000"/>
          <w:sz w:val="21"/>
          <w:szCs w:val="21"/>
          <w:lang w:eastAsia="en-CA"/>
        </w:rPr>
        <w:br/>
        <w:t>Cross-border sales </w:t>
      </w:r>
      <w:r w:rsidRPr="000D4949">
        <w:rPr>
          <w:rFonts w:ascii="Tahoma" w:eastAsia="Times New Roman" w:hAnsi="Tahoma" w:cs="Tahoma"/>
          <w:color w:val="000000"/>
          <w:sz w:val="21"/>
          <w:szCs w:val="21"/>
          <w:lang w:eastAsia="en-CA"/>
        </w:rPr>
        <w:br/>
        <w:t>The use of local distributors </w:t>
      </w:r>
      <w:r w:rsidRPr="000D4949">
        <w:rPr>
          <w:rFonts w:ascii="Tahoma" w:eastAsia="Times New Roman" w:hAnsi="Tahoma" w:cs="Tahoma"/>
          <w:color w:val="000000"/>
          <w:sz w:val="21"/>
          <w:szCs w:val="21"/>
          <w:lang w:eastAsia="en-CA"/>
        </w:rPr>
        <w:br/>
        <w:t>Developing local presence </w:t>
      </w:r>
      <w:r w:rsidRPr="000D4949">
        <w:rPr>
          <w:rFonts w:ascii="Tahoma" w:eastAsia="Times New Roman" w:hAnsi="Tahoma" w:cs="Tahoma"/>
          <w:color w:val="000000"/>
          <w:sz w:val="21"/>
          <w:szCs w:val="21"/>
          <w:lang w:eastAsia="en-CA"/>
        </w:rPr>
        <w:br/>
        <w:t>Entering into joint ventures and/or temporary associations of enterprises for specific projects (UTE’s) </w:t>
      </w:r>
      <w:r w:rsidRPr="000D4949">
        <w:rPr>
          <w:rFonts w:ascii="Tahoma" w:eastAsia="Times New Roman" w:hAnsi="Tahoma" w:cs="Tahoma"/>
          <w:color w:val="000000"/>
          <w:sz w:val="21"/>
          <w:szCs w:val="21"/>
          <w:lang w:eastAsia="en-CA"/>
        </w:rPr>
        <w:br/>
      </w:r>
      <w:r w:rsidRPr="000D4949">
        <w:rPr>
          <w:rFonts w:ascii="Tahoma" w:eastAsia="Times New Roman" w:hAnsi="Tahoma" w:cs="Tahoma"/>
          <w:color w:val="000000"/>
          <w:sz w:val="21"/>
          <w:szCs w:val="21"/>
          <w:lang w:eastAsia="en-CA"/>
        </w:rPr>
        <w:br/>
        <w:t>2. Commercial opportunities: </w:t>
      </w:r>
      <w:r w:rsidRPr="000D4949">
        <w:rPr>
          <w:rFonts w:ascii="Tahoma" w:eastAsia="Times New Roman" w:hAnsi="Tahoma" w:cs="Tahoma"/>
          <w:color w:val="000000"/>
          <w:sz w:val="21"/>
          <w:szCs w:val="21"/>
          <w:lang w:eastAsia="en-CA"/>
        </w:rPr>
        <w:br/>
        <w:t>Governmental procurement institutions, procedures, types of contracts, and particular regulations </w:t>
      </w:r>
      <w:r w:rsidRPr="000D4949">
        <w:rPr>
          <w:rFonts w:ascii="Tahoma" w:eastAsia="Times New Roman" w:hAnsi="Tahoma" w:cs="Tahoma"/>
          <w:color w:val="000000"/>
          <w:sz w:val="21"/>
          <w:szCs w:val="21"/>
          <w:lang w:eastAsia="en-CA"/>
        </w:rPr>
        <w:br/>
        <w:t>Participation in private bids and direct invitations </w:t>
      </w:r>
      <w:r w:rsidRPr="000D4949">
        <w:rPr>
          <w:rFonts w:ascii="Tahoma" w:eastAsia="Times New Roman" w:hAnsi="Tahoma" w:cs="Tahoma"/>
          <w:color w:val="000000"/>
          <w:sz w:val="21"/>
          <w:szCs w:val="21"/>
          <w:lang w:eastAsia="en-CA"/>
        </w:rPr>
        <w:br/>
        <w:t>Independent development of the market </w:t>
      </w:r>
      <w:r w:rsidRPr="000D4949">
        <w:rPr>
          <w:rFonts w:ascii="Tahoma" w:eastAsia="Times New Roman" w:hAnsi="Tahoma" w:cs="Tahoma"/>
          <w:color w:val="000000"/>
          <w:sz w:val="21"/>
          <w:szCs w:val="21"/>
          <w:lang w:eastAsia="en-CA"/>
        </w:rPr>
        <w:br/>
        <w:t>Public-Private Association laws and regulations and the manner to participate </w:t>
      </w:r>
      <w:r w:rsidRPr="000D4949">
        <w:rPr>
          <w:rFonts w:ascii="Tahoma" w:eastAsia="Times New Roman" w:hAnsi="Tahoma" w:cs="Tahoma"/>
          <w:color w:val="000000"/>
          <w:sz w:val="21"/>
          <w:szCs w:val="21"/>
          <w:lang w:eastAsia="en-CA"/>
        </w:rPr>
        <w:br/>
      </w:r>
    </w:p>
    <w:p w:rsidR="000D4949" w:rsidRDefault="000D4949" w:rsidP="000D4949">
      <w:pPr>
        <w:shd w:val="clear" w:color="auto" w:fill="E7E7E2"/>
        <w:spacing w:after="0" w:line="240" w:lineRule="auto"/>
        <w:rPr>
          <w:rFonts w:ascii="Tahoma" w:eastAsia="Times New Roman" w:hAnsi="Tahoma" w:cs="Tahoma"/>
          <w:color w:val="000000"/>
          <w:sz w:val="21"/>
          <w:szCs w:val="21"/>
          <w:lang w:eastAsia="en-CA"/>
        </w:rPr>
      </w:pPr>
      <w:r w:rsidRPr="000D4949">
        <w:rPr>
          <w:rFonts w:ascii="Tahoma" w:eastAsia="Times New Roman" w:hAnsi="Tahoma" w:cs="Tahoma"/>
          <w:color w:val="000000"/>
          <w:sz w:val="21"/>
          <w:szCs w:val="21"/>
          <w:lang w:eastAsia="en-CA"/>
        </w:rPr>
        <w:lastRenderedPageBreak/>
        <w:br/>
        <w:t>3. Tax regulations: </w:t>
      </w:r>
      <w:r w:rsidRPr="000D4949">
        <w:rPr>
          <w:rFonts w:ascii="Tahoma" w:eastAsia="Times New Roman" w:hAnsi="Tahoma" w:cs="Tahoma"/>
          <w:color w:val="000000"/>
          <w:sz w:val="21"/>
          <w:szCs w:val="21"/>
          <w:lang w:eastAsia="en-CA"/>
        </w:rPr>
        <w:br/>
        <w:t>VAT, income tax, other relevant taxes on income or assets </w:t>
      </w:r>
      <w:r w:rsidRPr="000D4949">
        <w:rPr>
          <w:rFonts w:ascii="Tahoma" w:eastAsia="Times New Roman" w:hAnsi="Tahoma" w:cs="Tahoma"/>
          <w:color w:val="000000"/>
          <w:sz w:val="21"/>
          <w:szCs w:val="21"/>
          <w:lang w:eastAsia="en-CA"/>
        </w:rPr>
        <w:br/>
        <w:t>Withholding taxes; </w:t>
      </w:r>
      <w:r w:rsidRPr="000D4949">
        <w:rPr>
          <w:rFonts w:ascii="Tahoma" w:eastAsia="Times New Roman" w:hAnsi="Tahoma" w:cs="Tahoma"/>
          <w:color w:val="000000"/>
          <w:sz w:val="21"/>
          <w:szCs w:val="21"/>
          <w:lang w:eastAsia="en-CA"/>
        </w:rPr>
        <w:br/>
        <w:t>The existence of subsidized territories and economic sectors </w:t>
      </w:r>
      <w:r w:rsidRPr="000D4949">
        <w:rPr>
          <w:rFonts w:ascii="Tahoma" w:eastAsia="Times New Roman" w:hAnsi="Tahoma" w:cs="Tahoma"/>
          <w:color w:val="000000"/>
          <w:sz w:val="21"/>
          <w:szCs w:val="21"/>
          <w:lang w:eastAsia="en-CA"/>
        </w:rPr>
        <w:br/>
        <w:t>Double taxation treaties in force or in progress to enter in the coming future; </w:t>
      </w:r>
      <w:r w:rsidRPr="000D4949">
        <w:rPr>
          <w:rFonts w:ascii="Tahoma" w:eastAsia="Times New Roman" w:hAnsi="Tahoma" w:cs="Tahoma"/>
          <w:color w:val="000000"/>
          <w:sz w:val="21"/>
          <w:szCs w:val="21"/>
          <w:lang w:eastAsia="en-CA"/>
        </w:rPr>
        <w:br/>
        <w:t>Free trade agreements in force and similar </w:t>
      </w:r>
      <w:r w:rsidRPr="000D4949">
        <w:rPr>
          <w:rFonts w:ascii="Tahoma" w:eastAsia="Times New Roman" w:hAnsi="Tahoma" w:cs="Tahoma"/>
          <w:color w:val="000000"/>
          <w:sz w:val="21"/>
          <w:szCs w:val="21"/>
          <w:lang w:eastAsia="en-CA"/>
        </w:rPr>
        <w:br/>
      </w:r>
      <w:r w:rsidRPr="000D4949">
        <w:rPr>
          <w:rFonts w:ascii="Tahoma" w:eastAsia="Times New Roman" w:hAnsi="Tahoma" w:cs="Tahoma"/>
          <w:color w:val="000000"/>
          <w:sz w:val="21"/>
          <w:szCs w:val="21"/>
          <w:lang w:eastAsia="en-CA"/>
        </w:rPr>
        <w:br/>
        <w:t>4. Environmental regulation: </w:t>
      </w:r>
      <w:r w:rsidRPr="000D4949">
        <w:rPr>
          <w:rFonts w:ascii="Tahoma" w:eastAsia="Times New Roman" w:hAnsi="Tahoma" w:cs="Tahoma"/>
          <w:color w:val="000000"/>
          <w:sz w:val="21"/>
          <w:szCs w:val="21"/>
          <w:lang w:eastAsia="en-CA"/>
        </w:rPr>
        <w:br/>
        <w:t>Type of approvals (EIA – DIA – others); sectorial permits; compliance and fines </w:t>
      </w:r>
      <w:r w:rsidRPr="000D4949">
        <w:rPr>
          <w:rFonts w:ascii="Tahoma" w:eastAsia="Times New Roman" w:hAnsi="Tahoma" w:cs="Tahoma"/>
          <w:color w:val="000000"/>
          <w:sz w:val="21"/>
          <w:szCs w:val="21"/>
          <w:lang w:eastAsia="en-CA"/>
        </w:rPr>
        <w:br/>
      </w:r>
      <w:r w:rsidRPr="000D4949">
        <w:rPr>
          <w:rFonts w:ascii="Tahoma" w:eastAsia="Times New Roman" w:hAnsi="Tahoma" w:cs="Tahoma"/>
          <w:color w:val="000000"/>
          <w:sz w:val="21"/>
          <w:szCs w:val="21"/>
          <w:lang w:eastAsia="en-CA"/>
        </w:rPr>
        <w:br/>
        <w:t>5. Labour and Immigration </w:t>
      </w:r>
      <w:r w:rsidRPr="000D4949">
        <w:rPr>
          <w:rFonts w:ascii="Tahoma" w:eastAsia="Times New Roman" w:hAnsi="Tahoma" w:cs="Tahoma"/>
          <w:color w:val="000000"/>
          <w:sz w:val="21"/>
          <w:szCs w:val="21"/>
          <w:lang w:eastAsia="en-CA"/>
        </w:rPr>
        <w:br/>
        <w:t>Expatriates and working permits, types of local labour agreements; impact of Unions and collective agreements; social security and health costs </w:t>
      </w:r>
      <w:r w:rsidRPr="000D4949">
        <w:rPr>
          <w:rFonts w:ascii="Tahoma" w:eastAsia="Times New Roman" w:hAnsi="Tahoma" w:cs="Tahoma"/>
          <w:color w:val="000000"/>
          <w:sz w:val="21"/>
          <w:szCs w:val="21"/>
          <w:lang w:eastAsia="en-CA"/>
        </w:rPr>
        <w:br/>
      </w:r>
      <w:r w:rsidRPr="000D4949">
        <w:rPr>
          <w:rFonts w:ascii="Tahoma" w:eastAsia="Times New Roman" w:hAnsi="Tahoma" w:cs="Tahoma"/>
          <w:color w:val="000000"/>
          <w:sz w:val="21"/>
          <w:szCs w:val="21"/>
          <w:lang w:eastAsia="en-CA"/>
        </w:rPr>
        <w:br/>
        <w:t>6. Investment Protection Schemes </w:t>
      </w:r>
      <w:r w:rsidRPr="000D4949">
        <w:rPr>
          <w:rFonts w:ascii="Tahoma" w:eastAsia="Times New Roman" w:hAnsi="Tahoma" w:cs="Tahoma"/>
          <w:color w:val="000000"/>
          <w:sz w:val="21"/>
          <w:szCs w:val="21"/>
          <w:lang w:eastAsia="en-CA"/>
        </w:rPr>
        <w:br/>
        <w:t>Constitutional regulations, international treaties, arbitration, enforcement of foreign awards and judgments </w:t>
      </w:r>
      <w:r w:rsidRPr="000D4949">
        <w:rPr>
          <w:rFonts w:ascii="Tahoma" w:eastAsia="Times New Roman" w:hAnsi="Tahoma" w:cs="Tahoma"/>
          <w:color w:val="000000"/>
          <w:sz w:val="21"/>
          <w:szCs w:val="21"/>
          <w:lang w:eastAsia="en-CA"/>
        </w:rPr>
        <w:br/>
      </w:r>
      <w:r w:rsidRPr="000D4949">
        <w:rPr>
          <w:rFonts w:ascii="Tahoma" w:eastAsia="Times New Roman" w:hAnsi="Tahoma" w:cs="Tahoma"/>
          <w:color w:val="000000"/>
          <w:sz w:val="21"/>
          <w:szCs w:val="21"/>
          <w:lang w:eastAsia="en-CA"/>
        </w:rPr>
        <w:br/>
        <w:t>The Speakers are attorneys from four different nations, practicing in their respective area of expertise in Montt Group SpA, regional professional company with subsidiaries in the four countries and deeply involved in the subject matter. For Chile the speaker is Mr. Santiago Montt (CEO and President of Montt Group); for Peru, Ms. Claudia Nunez; for Argentina Ms. Adriana Schwetz, and for Colombia, Mr. Omar Morales. Each presentation is 45 minutes, with 10 minutes at the end for questions. The order of the presentation is: Chile, Peru, Argentina and Colombia. </w:t>
      </w:r>
      <w:r w:rsidRPr="000D4949">
        <w:rPr>
          <w:rFonts w:ascii="Tahoma" w:eastAsia="Times New Roman" w:hAnsi="Tahoma" w:cs="Tahoma"/>
          <w:color w:val="000000"/>
          <w:sz w:val="21"/>
          <w:szCs w:val="21"/>
          <w:lang w:eastAsia="en-CA"/>
        </w:rPr>
        <w:br/>
      </w:r>
      <w:r w:rsidRPr="000D4949">
        <w:rPr>
          <w:rFonts w:ascii="Tahoma" w:eastAsia="Times New Roman" w:hAnsi="Tahoma" w:cs="Tahoma"/>
          <w:color w:val="000000"/>
          <w:sz w:val="21"/>
          <w:szCs w:val="21"/>
          <w:lang w:eastAsia="en-CA"/>
        </w:rPr>
        <w:br/>
        <w:t xml:space="preserve">All are welcome. </w:t>
      </w:r>
      <w:r w:rsidR="00BF6F04">
        <w:rPr>
          <w:rFonts w:ascii="Tahoma" w:eastAsia="Times New Roman" w:hAnsi="Tahoma" w:cs="Tahoma"/>
          <w:color w:val="000000"/>
          <w:sz w:val="21"/>
          <w:szCs w:val="21"/>
          <w:lang w:eastAsia="en-CA"/>
        </w:rPr>
        <w:t xml:space="preserve">Advance </w:t>
      </w:r>
      <w:r w:rsidR="00725443">
        <w:rPr>
          <w:rFonts w:ascii="Tahoma" w:eastAsia="Times New Roman" w:hAnsi="Tahoma" w:cs="Tahoma"/>
          <w:color w:val="000000"/>
          <w:sz w:val="21"/>
          <w:szCs w:val="21"/>
          <w:lang w:eastAsia="en-CA"/>
        </w:rPr>
        <w:t>Registration is not required but group seats may be reserved.</w:t>
      </w:r>
      <w:bookmarkStart w:id="0" w:name="_GoBack"/>
      <w:bookmarkEnd w:id="0"/>
    </w:p>
    <w:p w:rsidR="005760BF" w:rsidRDefault="005760BF" w:rsidP="000D4949">
      <w:pPr>
        <w:shd w:val="clear" w:color="auto" w:fill="E7E7E2"/>
        <w:spacing w:after="0" w:line="240" w:lineRule="auto"/>
        <w:rPr>
          <w:rFonts w:ascii="Tahoma" w:eastAsia="Times New Roman" w:hAnsi="Tahoma" w:cs="Tahoma"/>
          <w:color w:val="000000"/>
          <w:sz w:val="21"/>
          <w:szCs w:val="21"/>
          <w:lang w:eastAsia="en-CA"/>
        </w:rPr>
      </w:pPr>
    </w:p>
    <w:p w:rsidR="005760BF" w:rsidRDefault="004A67B8" w:rsidP="000D4949">
      <w:pPr>
        <w:shd w:val="clear" w:color="auto" w:fill="E7E7E2"/>
        <w:spacing w:after="0" w:line="240" w:lineRule="auto"/>
        <w:rPr>
          <w:rFonts w:ascii="Tahoma" w:eastAsia="Times New Roman" w:hAnsi="Tahoma" w:cs="Tahoma"/>
          <w:color w:val="000000"/>
          <w:sz w:val="21"/>
          <w:szCs w:val="21"/>
          <w:lang w:eastAsia="en-CA"/>
        </w:rPr>
      </w:pPr>
      <w:r>
        <w:rPr>
          <w:rFonts w:ascii="Tahoma" w:eastAsia="Times New Roman" w:hAnsi="Tahoma" w:cs="Tahoma"/>
          <w:color w:val="000000"/>
          <w:sz w:val="21"/>
          <w:szCs w:val="21"/>
          <w:lang w:eastAsia="en-CA"/>
        </w:rPr>
        <w:t xml:space="preserve">Visit us at </w:t>
      </w:r>
      <w:hyperlink r:id="rId7" w:history="1">
        <w:r w:rsidRPr="00860DE7">
          <w:rPr>
            <w:rStyle w:val="Hyperlink"/>
            <w:rFonts w:ascii="Tahoma" w:eastAsia="Times New Roman" w:hAnsi="Tahoma" w:cs="Tahoma"/>
            <w:sz w:val="21"/>
            <w:szCs w:val="21"/>
            <w:lang w:eastAsia="en-CA"/>
          </w:rPr>
          <w:t>www.MonttGroup.com</w:t>
        </w:r>
      </w:hyperlink>
      <w:r>
        <w:rPr>
          <w:rFonts w:ascii="Tahoma" w:eastAsia="Times New Roman" w:hAnsi="Tahoma" w:cs="Tahoma"/>
          <w:color w:val="000000"/>
          <w:sz w:val="21"/>
          <w:szCs w:val="21"/>
          <w:lang w:eastAsia="en-CA"/>
        </w:rPr>
        <w:t xml:space="preserve"> </w:t>
      </w:r>
    </w:p>
    <w:p w:rsidR="00725443" w:rsidRDefault="00725443" w:rsidP="000D4949">
      <w:pPr>
        <w:shd w:val="clear" w:color="auto" w:fill="E7E7E2"/>
        <w:spacing w:after="0" w:line="240" w:lineRule="auto"/>
        <w:rPr>
          <w:rFonts w:ascii="Tahoma" w:eastAsia="Times New Roman" w:hAnsi="Tahoma" w:cs="Tahoma"/>
          <w:color w:val="000000"/>
          <w:sz w:val="21"/>
          <w:szCs w:val="21"/>
          <w:lang w:eastAsia="en-CA"/>
        </w:rPr>
      </w:pPr>
    </w:p>
    <w:p w:rsidR="00725443" w:rsidRDefault="00725443" w:rsidP="000D4949">
      <w:pPr>
        <w:shd w:val="clear" w:color="auto" w:fill="E7E7E2"/>
        <w:spacing w:after="0" w:line="240" w:lineRule="auto"/>
        <w:rPr>
          <w:rFonts w:ascii="Tahoma" w:eastAsia="Times New Roman" w:hAnsi="Tahoma" w:cs="Tahoma"/>
          <w:color w:val="000000"/>
          <w:sz w:val="21"/>
          <w:szCs w:val="21"/>
          <w:lang w:eastAsia="en-CA"/>
        </w:rPr>
      </w:pPr>
      <w:r>
        <w:rPr>
          <w:rFonts w:ascii="Tahoma" w:eastAsia="Times New Roman" w:hAnsi="Tahoma" w:cs="Tahoma"/>
          <w:color w:val="000000"/>
          <w:sz w:val="21"/>
          <w:szCs w:val="21"/>
          <w:lang w:eastAsia="en-CA"/>
        </w:rPr>
        <w:t xml:space="preserve">For more information contact Lisa Ulrich at </w:t>
      </w:r>
      <w:proofErr w:type="spellStart"/>
      <w:r>
        <w:rPr>
          <w:rFonts w:ascii="Tahoma" w:eastAsia="Times New Roman" w:hAnsi="Tahoma" w:cs="Tahoma"/>
          <w:color w:val="000000"/>
          <w:sz w:val="21"/>
          <w:szCs w:val="21"/>
          <w:lang w:eastAsia="en-CA"/>
        </w:rPr>
        <w:t>Statis</w:t>
      </w:r>
      <w:proofErr w:type="spellEnd"/>
      <w:r>
        <w:rPr>
          <w:rFonts w:ascii="Tahoma" w:eastAsia="Times New Roman" w:hAnsi="Tahoma" w:cs="Tahoma"/>
          <w:color w:val="000000"/>
          <w:sz w:val="21"/>
          <w:szCs w:val="21"/>
          <w:lang w:eastAsia="en-CA"/>
        </w:rPr>
        <w:t xml:space="preserve"> Communications </w:t>
      </w:r>
      <w:hyperlink r:id="rId8" w:history="1">
        <w:r w:rsidRPr="001864E9">
          <w:rPr>
            <w:rStyle w:val="Hyperlink"/>
            <w:rFonts w:ascii="Tahoma" w:eastAsia="Times New Roman" w:hAnsi="Tahoma" w:cs="Tahoma"/>
            <w:sz w:val="21"/>
            <w:szCs w:val="21"/>
            <w:lang w:eastAsia="en-CA"/>
          </w:rPr>
          <w:t>lisa@statiscommunications.com</w:t>
        </w:r>
      </w:hyperlink>
      <w:r>
        <w:rPr>
          <w:rFonts w:ascii="Tahoma" w:eastAsia="Times New Roman" w:hAnsi="Tahoma" w:cs="Tahoma"/>
          <w:color w:val="000000"/>
          <w:sz w:val="21"/>
          <w:szCs w:val="21"/>
          <w:lang w:eastAsia="en-CA"/>
        </w:rPr>
        <w:t xml:space="preserve"> </w:t>
      </w:r>
    </w:p>
    <w:p w:rsidR="00375BB1" w:rsidRPr="000D4949" w:rsidRDefault="00375BB1" w:rsidP="000D4949">
      <w:pPr>
        <w:shd w:val="clear" w:color="auto" w:fill="E7E7E2"/>
        <w:spacing w:after="0" w:line="240" w:lineRule="auto"/>
        <w:rPr>
          <w:rFonts w:ascii="Tahoma" w:eastAsia="Times New Roman" w:hAnsi="Tahoma" w:cs="Tahoma"/>
          <w:color w:val="000000"/>
          <w:sz w:val="21"/>
          <w:szCs w:val="21"/>
          <w:lang w:eastAsia="en-CA"/>
        </w:rPr>
      </w:pPr>
    </w:p>
    <w:p w:rsidR="009078A7" w:rsidRDefault="009078A7"/>
    <w:sectPr w:rsidR="009078A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949"/>
    <w:rsid w:val="000D4949"/>
    <w:rsid w:val="00375BB1"/>
    <w:rsid w:val="004A67B8"/>
    <w:rsid w:val="005760BF"/>
    <w:rsid w:val="00725443"/>
    <w:rsid w:val="009078A7"/>
    <w:rsid w:val="00975EF7"/>
    <w:rsid w:val="00BF6F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8BDFE"/>
  <w15:chartTrackingRefBased/>
  <w15:docId w15:val="{11E6BCB8-5F45-471F-A791-641EBE449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67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070207">
      <w:bodyDiv w:val="1"/>
      <w:marLeft w:val="0"/>
      <w:marRight w:val="0"/>
      <w:marTop w:val="0"/>
      <w:marBottom w:val="0"/>
      <w:divBdr>
        <w:top w:val="none" w:sz="0" w:space="0" w:color="auto"/>
        <w:left w:val="none" w:sz="0" w:space="0" w:color="auto"/>
        <w:bottom w:val="none" w:sz="0" w:space="0" w:color="auto"/>
        <w:right w:val="none" w:sz="0" w:space="0" w:color="auto"/>
      </w:divBdr>
      <w:divsChild>
        <w:div w:id="1329599285">
          <w:marLeft w:val="0"/>
          <w:marRight w:val="0"/>
          <w:marTop w:val="0"/>
          <w:marBottom w:val="0"/>
          <w:divBdr>
            <w:top w:val="none" w:sz="0" w:space="0" w:color="auto"/>
            <w:left w:val="none" w:sz="0" w:space="0" w:color="auto"/>
            <w:bottom w:val="none" w:sz="0" w:space="0" w:color="auto"/>
            <w:right w:val="none" w:sz="0" w:space="0" w:color="auto"/>
          </w:divBdr>
          <w:divsChild>
            <w:div w:id="2120223126">
              <w:marLeft w:val="0"/>
              <w:marRight w:val="0"/>
              <w:marTop w:val="0"/>
              <w:marBottom w:val="0"/>
              <w:divBdr>
                <w:top w:val="none" w:sz="0" w:space="0" w:color="auto"/>
                <w:left w:val="none" w:sz="0" w:space="0" w:color="auto"/>
                <w:bottom w:val="none" w:sz="0" w:space="0" w:color="auto"/>
                <w:right w:val="none" w:sz="0" w:space="0" w:color="auto"/>
              </w:divBdr>
              <w:divsChild>
                <w:div w:id="1660964956">
                  <w:marLeft w:val="0"/>
                  <w:marRight w:val="0"/>
                  <w:marTop w:val="0"/>
                  <w:marBottom w:val="0"/>
                  <w:divBdr>
                    <w:top w:val="none" w:sz="0" w:space="0" w:color="auto"/>
                    <w:left w:val="none" w:sz="0" w:space="0" w:color="auto"/>
                    <w:bottom w:val="none" w:sz="0" w:space="0" w:color="auto"/>
                    <w:right w:val="none" w:sz="0" w:space="0" w:color="auto"/>
                  </w:divBdr>
                  <w:divsChild>
                    <w:div w:id="51619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7326">
          <w:marLeft w:val="0"/>
          <w:marRight w:val="0"/>
          <w:marTop w:val="0"/>
          <w:marBottom w:val="0"/>
          <w:divBdr>
            <w:top w:val="none" w:sz="0" w:space="0" w:color="auto"/>
            <w:left w:val="none" w:sz="0" w:space="0" w:color="auto"/>
            <w:bottom w:val="none" w:sz="0" w:space="0" w:color="auto"/>
            <w:right w:val="none" w:sz="0" w:space="0" w:color="auto"/>
          </w:divBdr>
          <w:divsChild>
            <w:div w:id="507405676">
              <w:marLeft w:val="0"/>
              <w:marRight w:val="0"/>
              <w:marTop w:val="0"/>
              <w:marBottom w:val="0"/>
              <w:divBdr>
                <w:top w:val="none" w:sz="0" w:space="0" w:color="auto"/>
                <w:left w:val="none" w:sz="0" w:space="0" w:color="auto"/>
                <w:bottom w:val="none" w:sz="0" w:space="0" w:color="auto"/>
                <w:right w:val="none" w:sz="0" w:space="0" w:color="auto"/>
              </w:divBdr>
              <w:divsChild>
                <w:div w:id="1402169012">
                  <w:marLeft w:val="0"/>
                  <w:marRight w:val="0"/>
                  <w:marTop w:val="0"/>
                  <w:marBottom w:val="0"/>
                  <w:divBdr>
                    <w:top w:val="none" w:sz="0" w:space="0" w:color="auto"/>
                    <w:left w:val="none" w:sz="0" w:space="0" w:color="auto"/>
                    <w:bottom w:val="none" w:sz="0" w:space="0" w:color="auto"/>
                    <w:right w:val="none" w:sz="0" w:space="0" w:color="auto"/>
                  </w:divBdr>
                  <w:divsChild>
                    <w:div w:id="1709181765">
                      <w:marLeft w:val="0"/>
                      <w:marRight w:val="0"/>
                      <w:marTop w:val="0"/>
                      <w:marBottom w:val="0"/>
                      <w:divBdr>
                        <w:top w:val="none" w:sz="0" w:space="0" w:color="auto"/>
                        <w:left w:val="none" w:sz="0" w:space="0" w:color="auto"/>
                        <w:bottom w:val="none" w:sz="0" w:space="0" w:color="auto"/>
                        <w:right w:val="none" w:sz="0" w:space="0" w:color="auto"/>
                      </w:divBdr>
                    </w:div>
                    <w:div w:id="15903058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statiscommunications.com" TargetMode="External"/><Relationship Id="rId3" Type="http://schemas.openxmlformats.org/officeDocument/2006/relationships/webSettings" Target="webSettings.xml"/><Relationship Id="rId7" Type="http://schemas.openxmlformats.org/officeDocument/2006/relationships/hyperlink" Target="http://www.MonttGroup.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dac.ca/convention/maps?l=Room+206B"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Ulrich</dc:creator>
  <cp:keywords/>
  <dc:description/>
  <cp:lastModifiedBy>Lisa Ulrich</cp:lastModifiedBy>
  <cp:revision>2</cp:revision>
  <dcterms:created xsi:type="dcterms:W3CDTF">2017-02-06T20:02:00Z</dcterms:created>
  <dcterms:modified xsi:type="dcterms:W3CDTF">2017-02-06T20:02:00Z</dcterms:modified>
</cp:coreProperties>
</file>