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59C6A" w14:textId="23AF7688" w:rsidR="002A708A" w:rsidRPr="002A708A" w:rsidRDefault="00300080" w:rsidP="00B655DF">
      <w:pPr>
        <w:ind w:firstLine="0"/>
        <w:jc w:val="center"/>
        <w:rPr>
          <w:b/>
          <w:smallCaps/>
          <w:sz w:val="28"/>
          <w:szCs w:val="28"/>
        </w:rPr>
      </w:pPr>
      <w:r>
        <w:rPr>
          <w:b/>
          <w:smallCaps/>
          <w:noProof/>
          <w:sz w:val="28"/>
          <w:szCs w:val="28"/>
        </w:rPr>
        <w:t>(In)valid</w:t>
      </w:r>
      <w:r w:rsidR="00B33424">
        <w:rPr>
          <w:b/>
          <w:smallCaps/>
          <w:noProof/>
          <w:sz w:val="28"/>
          <w:szCs w:val="28"/>
        </w:rPr>
        <w:t xml:space="preserve"> Patents</w:t>
      </w:r>
    </w:p>
    <w:p w14:paraId="62EE7B27" w14:textId="77777777" w:rsidR="007A2A3F" w:rsidRDefault="002A708A" w:rsidP="002A708A">
      <w:pPr>
        <w:ind w:firstLine="0"/>
        <w:jc w:val="center"/>
      </w:pPr>
      <w:r>
        <w:t>Paul R. Gugliuzza</w:t>
      </w:r>
      <w:bookmarkStart w:id="0" w:name="_Ref402954137"/>
      <w:r>
        <w:rPr>
          <w:rStyle w:val="FootnoteReference"/>
        </w:rPr>
        <w:footnoteReference w:customMarkFollows="1" w:id="1"/>
        <w:t>*</w:t>
      </w:r>
      <w:bookmarkEnd w:id="0"/>
    </w:p>
    <w:p w14:paraId="639CD5BA" w14:textId="7636C9A3" w:rsidR="00477986" w:rsidRDefault="00477986" w:rsidP="00477986">
      <w:pPr>
        <w:jc w:val="both"/>
        <w:rPr>
          <w:i/>
        </w:rPr>
      </w:pPr>
      <w:r>
        <w:rPr>
          <w:i/>
        </w:rPr>
        <w:t>Increasingly, accused infringers challenge the validity of a patent</w:t>
      </w:r>
      <w:r w:rsidRPr="00D11168">
        <w:rPr>
          <w:i/>
        </w:rPr>
        <w:t xml:space="preserve"> in two different forums:  in litigation in federal district court and in post-issuance review at the </w:t>
      </w:r>
      <w:r>
        <w:rPr>
          <w:i/>
        </w:rPr>
        <w:t>Patent and Trademark Office (</w:t>
      </w:r>
      <w:r w:rsidRPr="00D11168">
        <w:rPr>
          <w:i/>
        </w:rPr>
        <w:t>PTO</w:t>
      </w:r>
      <w:r>
        <w:rPr>
          <w:i/>
        </w:rPr>
        <w:t>)</w:t>
      </w:r>
      <w:r w:rsidR="009D5923">
        <w:rPr>
          <w:i/>
        </w:rPr>
        <w:t>.  These d</w:t>
      </w:r>
      <w:r w:rsidRPr="00D11168">
        <w:rPr>
          <w:i/>
        </w:rPr>
        <w:t xml:space="preserve">uplicate proceedings to determine patent validity </w:t>
      </w:r>
      <w:r w:rsidR="009D5923">
        <w:rPr>
          <w:i/>
        </w:rPr>
        <w:t>have produced</w:t>
      </w:r>
      <w:r w:rsidR="00077B13">
        <w:rPr>
          <w:i/>
        </w:rPr>
        <w:t xml:space="preserve"> controversial and seemingly</w:t>
      </w:r>
      <w:r w:rsidR="009D5923">
        <w:rPr>
          <w:i/>
        </w:rPr>
        <w:t xml:space="preserve"> inconsistent results</w:t>
      </w:r>
      <w:r w:rsidRPr="00D11168">
        <w:rPr>
          <w:i/>
        </w:rPr>
        <w:t xml:space="preserve">.  </w:t>
      </w:r>
      <w:r w:rsidR="009D5923">
        <w:rPr>
          <w:i/>
        </w:rPr>
        <w:t xml:space="preserve">In one recent case, the Federal Circuit held an infringer liable for nearly $400 million in damages even though the PTO had ruled that the infringed patent was invalid.  In another case, an infringer sought PTO review only after an unfavorable summary judgment decision, </w:t>
      </w:r>
      <w:r w:rsidR="00034175">
        <w:rPr>
          <w:i/>
        </w:rPr>
        <w:t>yet</w:t>
      </w:r>
      <w:r w:rsidR="009D5923">
        <w:rPr>
          <w:i/>
        </w:rPr>
        <w:t xml:space="preserve"> the Federal Circuit </w:t>
      </w:r>
      <w:r w:rsidR="00246AEF">
        <w:rPr>
          <w:i/>
        </w:rPr>
        <w:t>held</w:t>
      </w:r>
      <w:r w:rsidR="009D5923">
        <w:rPr>
          <w:i/>
        </w:rPr>
        <w:t xml:space="preserve"> that the PTO’s eventual ruling of invalidity trumped the district court’s damages award.</w:t>
      </w:r>
    </w:p>
    <w:p w14:paraId="12C019F6" w14:textId="18D91CB5" w:rsidR="00477986" w:rsidRDefault="00077B13" w:rsidP="00477986">
      <w:pPr>
        <w:jc w:val="both"/>
        <w:rPr>
          <w:i/>
        </w:rPr>
      </w:pPr>
      <w:r>
        <w:rPr>
          <w:i/>
        </w:rPr>
        <w:t xml:space="preserve">These outcomes are dictated by </w:t>
      </w:r>
      <w:r w:rsidR="00034175">
        <w:rPr>
          <w:i/>
        </w:rPr>
        <w:t>the</w:t>
      </w:r>
      <w:r>
        <w:rPr>
          <w:i/>
        </w:rPr>
        <w:t xml:space="preserve"> Federal </w:t>
      </w:r>
      <w:r w:rsidR="00034175">
        <w:rPr>
          <w:i/>
        </w:rPr>
        <w:t xml:space="preserve">Circuit’s </w:t>
      </w:r>
      <w:r w:rsidR="00AC0481">
        <w:rPr>
          <w:i/>
        </w:rPr>
        <w:t>pronouncement</w:t>
      </w:r>
      <w:r>
        <w:rPr>
          <w:i/>
        </w:rPr>
        <w:t xml:space="preserve"> that, in parallel proceedings between the courts and the PTO</w:t>
      </w:r>
      <w:r w:rsidR="00477986">
        <w:rPr>
          <w:i/>
        </w:rPr>
        <w:t xml:space="preserve">, the </w:t>
      </w:r>
      <w:r w:rsidR="0000587C">
        <w:rPr>
          <w:i/>
        </w:rPr>
        <w:t xml:space="preserve">first </w:t>
      </w:r>
      <w:r w:rsidR="00034175">
        <w:rPr>
          <w:i/>
        </w:rPr>
        <w:t>forum</w:t>
      </w:r>
      <w:r w:rsidR="0000587C">
        <w:rPr>
          <w:i/>
        </w:rPr>
        <w:t xml:space="preserve"> to reach an absolute, irrevocable conclusion takes precedence.  </w:t>
      </w:r>
      <w:r w:rsidR="00477986">
        <w:rPr>
          <w:i/>
        </w:rPr>
        <w:t>This “absolute finality” rule raises serious questions of judicial economy, fairness, and separation of powers.  Among other things, it allows</w:t>
      </w:r>
      <w:r w:rsidR="00477986" w:rsidRPr="00EC39F1">
        <w:rPr>
          <w:i/>
        </w:rPr>
        <w:t xml:space="preserve"> </w:t>
      </w:r>
      <w:r w:rsidR="008455DE">
        <w:rPr>
          <w:i/>
        </w:rPr>
        <w:t>accused</w:t>
      </w:r>
      <w:r w:rsidR="00477986" w:rsidRPr="00EC39F1">
        <w:rPr>
          <w:i/>
        </w:rPr>
        <w:t xml:space="preserve"> infringers multiple opportunities to defeat liability</w:t>
      </w:r>
      <w:r w:rsidR="00477986">
        <w:rPr>
          <w:i/>
        </w:rPr>
        <w:t xml:space="preserve">, permits an administrative agency to </w:t>
      </w:r>
      <w:r w:rsidR="00B655DF">
        <w:rPr>
          <w:i/>
        </w:rPr>
        <w:t xml:space="preserve">effectively </w:t>
      </w:r>
      <w:r w:rsidR="00477986">
        <w:rPr>
          <w:i/>
        </w:rPr>
        <w:t xml:space="preserve">nullify decisions of Article III courts, and incentivizes courts to abstain from hearing patent cases altogether, at least until the PTO reconsiders the patent’s validity. </w:t>
      </w:r>
    </w:p>
    <w:p w14:paraId="4FEDF85D" w14:textId="38A990F0" w:rsidR="00246AEF" w:rsidRDefault="00644976" w:rsidP="00D03BE8">
      <w:pPr>
        <w:jc w:val="both"/>
        <w:rPr>
          <w:i/>
        </w:rPr>
      </w:pPr>
      <w:r>
        <w:rPr>
          <w:i/>
        </w:rPr>
        <w:t>That said</w:t>
      </w:r>
      <w:r w:rsidR="00246AEF">
        <w:rPr>
          <w:i/>
        </w:rPr>
        <w:t xml:space="preserve">, </w:t>
      </w:r>
      <w:r w:rsidR="009D5923">
        <w:rPr>
          <w:i/>
        </w:rPr>
        <w:t xml:space="preserve">some inefficiency </w:t>
      </w:r>
      <w:r w:rsidR="000A5E0E">
        <w:rPr>
          <w:i/>
        </w:rPr>
        <w:t>or</w:t>
      </w:r>
      <w:r w:rsidR="009D5923">
        <w:rPr>
          <w:i/>
        </w:rPr>
        <w:t xml:space="preserve"> unfairness is inevitable when two different government bodies </w:t>
      </w:r>
      <w:r w:rsidR="00D56461">
        <w:rPr>
          <w:i/>
        </w:rPr>
        <w:t xml:space="preserve">can </w:t>
      </w:r>
      <w:r w:rsidR="009D5923">
        <w:rPr>
          <w:i/>
        </w:rPr>
        <w:t>evaluate the validity of the same patent</w:t>
      </w:r>
      <w:r w:rsidR="0000587C">
        <w:rPr>
          <w:i/>
        </w:rPr>
        <w:t>, a</w:t>
      </w:r>
      <w:r w:rsidR="009D5923">
        <w:rPr>
          <w:i/>
        </w:rPr>
        <w:t xml:space="preserve">nd </w:t>
      </w:r>
      <w:r w:rsidR="00477986">
        <w:rPr>
          <w:i/>
        </w:rPr>
        <w:t>the absolute finality rule</w:t>
      </w:r>
      <w:r w:rsidR="009D5923">
        <w:rPr>
          <w:i/>
        </w:rPr>
        <w:t>, if nothing else,</w:t>
      </w:r>
      <w:r w:rsidR="00477986">
        <w:rPr>
          <w:i/>
        </w:rPr>
        <w:t xml:space="preserve"> provides a </w:t>
      </w:r>
      <w:r w:rsidR="009D5923">
        <w:rPr>
          <w:i/>
        </w:rPr>
        <w:t>relatively</w:t>
      </w:r>
      <w:r w:rsidR="00477986">
        <w:rPr>
          <w:i/>
        </w:rPr>
        <w:t xml:space="preserve"> bright-line test.</w:t>
      </w:r>
      <w:r w:rsidR="002A087B">
        <w:rPr>
          <w:i/>
        </w:rPr>
        <w:t xml:space="preserve">  But it is not the only way to mediate conflicts between the courts and the PTO.</w:t>
      </w:r>
      <w:r w:rsidR="00D91321">
        <w:rPr>
          <w:i/>
        </w:rPr>
        <w:t xml:space="preserve">  </w:t>
      </w:r>
      <w:r w:rsidR="002B40F8">
        <w:rPr>
          <w:i/>
        </w:rPr>
        <w:t>This article, in addition to</w:t>
      </w:r>
      <w:r w:rsidR="00D245A9">
        <w:rPr>
          <w:i/>
        </w:rPr>
        <w:t xml:space="preserve"> identifying,</w:t>
      </w:r>
      <w:r w:rsidR="002B40F8">
        <w:rPr>
          <w:i/>
        </w:rPr>
        <w:t xml:space="preserve"> describing</w:t>
      </w:r>
      <w:r w:rsidR="00D245A9">
        <w:rPr>
          <w:i/>
        </w:rPr>
        <w:t>,</w:t>
      </w:r>
      <w:r w:rsidR="002B40F8">
        <w:rPr>
          <w:i/>
        </w:rPr>
        <w:t xml:space="preserve"> and critiquing the absolute finality rule, explores several o</w:t>
      </w:r>
      <w:r w:rsidR="00D91321">
        <w:rPr>
          <w:i/>
        </w:rPr>
        <w:t>ther options for providing</w:t>
      </w:r>
      <w:r w:rsidR="007A73F0">
        <w:rPr>
          <w:i/>
        </w:rPr>
        <w:t xml:space="preserve"> greater certainty about patent validity</w:t>
      </w:r>
      <w:r w:rsidR="00D91321">
        <w:rPr>
          <w:i/>
        </w:rPr>
        <w:t xml:space="preserve">.  </w:t>
      </w:r>
    </w:p>
    <w:p w14:paraId="604677F9" w14:textId="77777777" w:rsidR="005424EB" w:rsidRPr="009039D5" w:rsidRDefault="005424EB" w:rsidP="007A73F0">
      <w:pPr>
        <w:pStyle w:val="BodyText"/>
        <w:keepNext/>
        <w:ind w:firstLine="0"/>
        <w:jc w:val="center"/>
        <w:rPr>
          <w:smallCaps/>
        </w:rPr>
      </w:pPr>
      <w:r w:rsidRPr="002F04CE">
        <w:rPr>
          <w:smallCaps/>
        </w:rPr>
        <w:lastRenderedPageBreak/>
        <w:t>Table of C</w:t>
      </w:r>
      <w:bookmarkStart w:id="1" w:name="_GoBack"/>
      <w:bookmarkEnd w:id="1"/>
      <w:r w:rsidRPr="002F04CE">
        <w:rPr>
          <w:smallCaps/>
        </w:rPr>
        <w:t>ontents</w:t>
      </w:r>
    </w:p>
    <w:p w14:paraId="0A758512" w14:textId="5E10BB9F" w:rsidR="005424EB" w:rsidRPr="00772681" w:rsidRDefault="005424EB" w:rsidP="007A73F0">
      <w:pPr>
        <w:pStyle w:val="BodyText"/>
        <w:keepNext/>
        <w:widowControl w:val="0"/>
        <w:tabs>
          <w:tab w:val="right" w:leader="dot" w:pos="7920"/>
        </w:tabs>
        <w:spacing w:after="60"/>
        <w:ind w:left="360" w:right="630" w:hanging="360"/>
        <w:rPr>
          <w:smallCaps/>
        </w:rPr>
      </w:pPr>
      <w:r w:rsidRPr="00772681">
        <w:rPr>
          <w:smallCaps/>
        </w:rPr>
        <w:t>Introduction</w:t>
      </w:r>
      <w:r w:rsidRPr="00772681">
        <w:rPr>
          <w:smallCaps/>
        </w:rPr>
        <w:tab/>
      </w:r>
      <w:r w:rsidR="00EF4990">
        <w:rPr>
          <w:smallCaps/>
        </w:rPr>
        <w:t>2</w:t>
      </w:r>
    </w:p>
    <w:p w14:paraId="597EAF72" w14:textId="42FA9914" w:rsidR="005424EB" w:rsidRDefault="005424EB" w:rsidP="007A73F0">
      <w:pPr>
        <w:pStyle w:val="BodyText"/>
        <w:keepNext/>
        <w:widowControl w:val="0"/>
        <w:tabs>
          <w:tab w:val="left" w:pos="-270"/>
          <w:tab w:val="right" w:leader="dot" w:pos="7920"/>
          <w:tab w:val="right" w:leader="dot" w:pos="8100"/>
        </w:tabs>
        <w:spacing w:after="60"/>
        <w:ind w:left="360" w:right="630" w:hanging="360"/>
        <w:rPr>
          <w:smallCaps/>
        </w:rPr>
      </w:pPr>
      <w:r w:rsidRPr="00772681">
        <w:rPr>
          <w:smallCaps/>
        </w:rPr>
        <w:t>I.</w:t>
      </w:r>
      <w:r w:rsidRPr="00772681">
        <w:rPr>
          <w:smallCaps/>
        </w:rPr>
        <w:tab/>
      </w:r>
      <w:r w:rsidR="00C3381E">
        <w:rPr>
          <w:smallCaps/>
        </w:rPr>
        <w:t>Parallel</w:t>
      </w:r>
      <w:r w:rsidR="004A5D5D">
        <w:rPr>
          <w:smallCaps/>
        </w:rPr>
        <w:t xml:space="preserve"> Systems of Patent Adjudication</w:t>
      </w:r>
      <w:r w:rsidRPr="00772681">
        <w:rPr>
          <w:smallCaps/>
        </w:rPr>
        <w:tab/>
      </w:r>
      <w:r w:rsidR="00EF4990">
        <w:rPr>
          <w:smallCaps/>
        </w:rPr>
        <w:t>8</w:t>
      </w:r>
    </w:p>
    <w:p w14:paraId="6C1D932F" w14:textId="22CF77B3" w:rsidR="0090169A" w:rsidRDefault="0090169A" w:rsidP="007A73F0">
      <w:pPr>
        <w:pStyle w:val="BodyText"/>
        <w:keepNext/>
        <w:widowControl w:val="0"/>
        <w:tabs>
          <w:tab w:val="left" w:pos="-270"/>
          <w:tab w:val="right" w:leader="dot" w:pos="7920"/>
          <w:tab w:val="right" w:leader="dot" w:pos="8100"/>
        </w:tabs>
        <w:spacing w:after="60"/>
        <w:ind w:left="720" w:right="630" w:hanging="360"/>
      </w:pPr>
      <w:r w:rsidRPr="0090169A">
        <w:t>A.</w:t>
      </w:r>
      <w:r w:rsidRPr="0090169A">
        <w:tab/>
      </w:r>
      <w:r w:rsidR="00E431AB">
        <w:t>Litigation and Post-Issuance Review</w:t>
      </w:r>
      <w:r w:rsidRPr="0090169A">
        <w:tab/>
      </w:r>
      <w:r w:rsidR="00EF4990">
        <w:t>8</w:t>
      </w:r>
    </w:p>
    <w:p w14:paraId="45A46C0F" w14:textId="0C2FC2EE" w:rsidR="0090169A" w:rsidRDefault="0090169A" w:rsidP="007A73F0">
      <w:pPr>
        <w:pStyle w:val="BodyText"/>
        <w:widowControl w:val="0"/>
        <w:tabs>
          <w:tab w:val="left" w:pos="-270"/>
          <w:tab w:val="right" w:leader="dot" w:pos="7920"/>
          <w:tab w:val="right" w:leader="dot" w:pos="8100"/>
        </w:tabs>
        <w:spacing w:after="60"/>
        <w:ind w:left="720" w:right="630" w:hanging="360"/>
      </w:pPr>
      <w:r w:rsidRPr="0090169A">
        <w:t>B.</w:t>
      </w:r>
      <w:r w:rsidRPr="0090169A">
        <w:tab/>
      </w:r>
      <w:r w:rsidR="00D74081">
        <w:t xml:space="preserve">The Relationship </w:t>
      </w:r>
      <w:proofErr w:type="gramStart"/>
      <w:r w:rsidR="00D74081">
        <w:t>Between</w:t>
      </w:r>
      <w:proofErr w:type="gramEnd"/>
      <w:r w:rsidR="00D74081">
        <w:t xml:space="preserve"> the Parallel Systems</w:t>
      </w:r>
      <w:r w:rsidRPr="0090169A">
        <w:tab/>
      </w:r>
      <w:r w:rsidR="00EF4990">
        <w:t>17</w:t>
      </w:r>
    </w:p>
    <w:p w14:paraId="4FD24A33" w14:textId="1F55E115" w:rsidR="008A56C4" w:rsidRDefault="008A56C4" w:rsidP="007A73F0">
      <w:pPr>
        <w:pStyle w:val="BodyText"/>
        <w:tabs>
          <w:tab w:val="left" w:pos="-270"/>
          <w:tab w:val="right" w:leader="dot" w:pos="7920"/>
          <w:tab w:val="right" w:leader="dot" w:pos="8100"/>
        </w:tabs>
        <w:spacing w:after="60"/>
        <w:ind w:left="360" w:right="630" w:hanging="360"/>
        <w:rPr>
          <w:smallCaps/>
        </w:rPr>
      </w:pPr>
      <w:r w:rsidRPr="00F24D55">
        <w:rPr>
          <w:smallCaps/>
        </w:rPr>
        <w:t>II.</w:t>
      </w:r>
      <w:r w:rsidRPr="00F24D55">
        <w:rPr>
          <w:smallCaps/>
        </w:rPr>
        <w:tab/>
      </w:r>
      <w:r w:rsidR="00D20C4B">
        <w:rPr>
          <w:smallCaps/>
        </w:rPr>
        <w:t>Conflicting Decisions in Concurrent Proceedings</w:t>
      </w:r>
      <w:r w:rsidRPr="00F24D55">
        <w:rPr>
          <w:smallCaps/>
        </w:rPr>
        <w:tab/>
      </w:r>
      <w:r w:rsidR="00EF4990">
        <w:rPr>
          <w:smallCaps/>
        </w:rPr>
        <w:t>23</w:t>
      </w:r>
    </w:p>
    <w:p w14:paraId="3E5577CA" w14:textId="3CA89415" w:rsidR="00E613AE" w:rsidRDefault="00E613AE" w:rsidP="007A73F0">
      <w:pPr>
        <w:pStyle w:val="BodyText"/>
        <w:tabs>
          <w:tab w:val="left" w:pos="-270"/>
          <w:tab w:val="right" w:leader="dot" w:pos="7920"/>
          <w:tab w:val="right" w:leader="dot" w:pos="8100"/>
        </w:tabs>
        <w:spacing w:after="60"/>
        <w:ind w:left="720" w:right="630" w:hanging="360"/>
      </w:pPr>
      <w:r>
        <w:t>A.</w:t>
      </w:r>
      <w:r>
        <w:tab/>
      </w:r>
      <w:r w:rsidR="00D20C4B">
        <w:t>Foreshadowing the Absolute Finality Rule</w:t>
      </w:r>
      <w:r>
        <w:tab/>
      </w:r>
      <w:r w:rsidR="00EF4990">
        <w:t>23</w:t>
      </w:r>
    </w:p>
    <w:p w14:paraId="51755CB2" w14:textId="2A45BEF9" w:rsidR="001F789E" w:rsidRDefault="00E613AE" w:rsidP="00E431AB">
      <w:pPr>
        <w:pStyle w:val="BodyText"/>
        <w:tabs>
          <w:tab w:val="left" w:pos="-270"/>
          <w:tab w:val="right" w:leader="dot" w:pos="7920"/>
          <w:tab w:val="right" w:leader="dot" w:pos="8100"/>
        </w:tabs>
        <w:spacing w:after="60"/>
        <w:ind w:left="720" w:right="630" w:hanging="360"/>
      </w:pPr>
      <w:r>
        <w:t>B</w:t>
      </w:r>
      <w:r w:rsidR="001F789E" w:rsidRPr="001F789E">
        <w:t>.</w:t>
      </w:r>
      <w:r w:rsidR="001F789E" w:rsidRPr="001F789E">
        <w:tab/>
      </w:r>
      <w:r w:rsidR="004663E8">
        <w:t>T</w:t>
      </w:r>
      <w:r w:rsidR="00D20C4B">
        <w:t>he Absolute Finality Rule</w:t>
      </w:r>
      <w:r w:rsidR="001F789E" w:rsidRPr="001F789E">
        <w:tab/>
      </w:r>
      <w:r w:rsidR="00EF4990">
        <w:t>25</w:t>
      </w:r>
    </w:p>
    <w:p w14:paraId="18187AF1" w14:textId="50BC2C06" w:rsidR="004663E8" w:rsidRPr="002D29E8" w:rsidRDefault="004663E8" w:rsidP="004663E8">
      <w:pPr>
        <w:pStyle w:val="BodyText"/>
        <w:tabs>
          <w:tab w:val="left" w:pos="-270"/>
          <w:tab w:val="right" w:leader="dot" w:pos="7920"/>
          <w:tab w:val="right" w:leader="dot" w:pos="8100"/>
        </w:tabs>
        <w:spacing w:after="60"/>
        <w:ind w:left="1080" w:right="630" w:hanging="360"/>
      </w:pPr>
      <w:r w:rsidRPr="004663E8">
        <w:rPr>
          <w:i/>
        </w:rPr>
        <w:t>1.</w:t>
      </w:r>
      <w:r w:rsidRPr="004663E8">
        <w:rPr>
          <w:i/>
        </w:rPr>
        <w:tab/>
        <w:t>Creation</w:t>
      </w:r>
      <w:r w:rsidRPr="00F31D9B">
        <w:tab/>
      </w:r>
      <w:r w:rsidR="00EF4990">
        <w:t>26</w:t>
      </w:r>
    </w:p>
    <w:p w14:paraId="3EBA8DF9" w14:textId="5DF1CCA7" w:rsidR="004663E8" w:rsidRPr="002D29E8" w:rsidRDefault="004663E8" w:rsidP="004663E8">
      <w:pPr>
        <w:pStyle w:val="BodyText"/>
        <w:tabs>
          <w:tab w:val="left" w:pos="-270"/>
          <w:tab w:val="right" w:leader="dot" w:pos="7920"/>
          <w:tab w:val="right" w:leader="dot" w:pos="8100"/>
        </w:tabs>
        <w:spacing w:after="60"/>
        <w:ind w:left="1080" w:right="630" w:hanging="360"/>
      </w:pPr>
      <w:r w:rsidRPr="004663E8">
        <w:rPr>
          <w:i/>
        </w:rPr>
        <w:t>2.</w:t>
      </w:r>
      <w:r w:rsidRPr="004663E8">
        <w:rPr>
          <w:i/>
        </w:rPr>
        <w:tab/>
        <w:t>Consequences</w:t>
      </w:r>
      <w:r w:rsidRPr="00F31D9B">
        <w:tab/>
      </w:r>
      <w:r w:rsidR="00EF4990">
        <w:t>29</w:t>
      </w:r>
    </w:p>
    <w:p w14:paraId="1BFCADD6" w14:textId="204500C8" w:rsidR="004663E8" w:rsidRPr="002D29E8" w:rsidRDefault="004663E8" w:rsidP="004663E8">
      <w:pPr>
        <w:pStyle w:val="BodyText"/>
        <w:tabs>
          <w:tab w:val="left" w:pos="-270"/>
          <w:tab w:val="right" w:leader="dot" w:pos="7920"/>
          <w:tab w:val="right" w:leader="dot" w:pos="8100"/>
        </w:tabs>
        <w:spacing w:after="60"/>
        <w:ind w:left="1080" w:right="630" w:hanging="360"/>
      </w:pPr>
      <w:r w:rsidRPr="004663E8">
        <w:rPr>
          <w:i/>
        </w:rPr>
        <w:t>3.</w:t>
      </w:r>
      <w:r w:rsidRPr="004663E8">
        <w:rPr>
          <w:i/>
        </w:rPr>
        <w:tab/>
        <w:t>Extension</w:t>
      </w:r>
      <w:r w:rsidRPr="00F31D9B">
        <w:tab/>
      </w:r>
      <w:r w:rsidR="00EF4990">
        <w:t>32</w:t>
      </w:r>
    </w:p>
    <w:p w14:paraId="73023618" w14:textId="123BB188" w:rsidR="006B0056" w:rsidRPr="006B0056" w:rsidRDefault="006B0056" w:rsidP="006B0056">
      <w:pPr>
        <w:pStyle w:val="BodyText"/>
        <w:tabs>
          <w:tab w:val="left" w:pos="-270"/>
          <w:tab w:val="right" w:leader="dot" w:pos="7920"/>
          <w:tab w:val="right" w:leader="dot" w:pos="8100"/>
        </w:tabs>
        <w:spacing w:after="60"/>
        <w:ind w:left="720" w:right="630" w:hanging="360"/>
      </w:pPr>
      <w:r>
        <w:t>C.</w:t>
      </w:r>
      <w:r>
        <w:tab/>
        <w:t>How Final Is Final?</w:t>
      </w:r>
      <w:r>
        <w:tab/>
      </w:r>
      <w:r w:rsidR="00EF4990">
        <w:t>35</w:t>
      </w:r>
    </w:p>
    <w:p w14:paraId="7C1C659C" w14:textId="17165CB7" w:rsidR="008A56C4" w:rsidRDefault="008A56C4" w:rsidP="00E431AB">
      <w:pPr>
        <w:pStyle w:val="BodyText"/>
        <w:tabs>
          <w:tab w:val="left" w:pos="-270"/>
          <w:tab w:val="right" w:leader="dot" w:pos="7920"/>
          <w:tab w:val="right" w:leader="dot" w:pos="8100"/>
        </w:tabs>
        <w:spacing w:after="60"/>
        <w:ind w:left="360" w:right="630" w:hanging="360"/>
        <w:rPr>
          <w:smallCaps/>
        </w:rPr>
      </w:pPr>
      <w:r>
        <w:rPr>
          <w:smallCaps/>
        </w:rPr>
        <w:t>II</w:t>
      </w:r>
      <w:r w:rsidRPr="00772681">
        <w:rPr>
          <w:smallCaps/>
        </w:rPr>
        <w:t>I.</w:t>
      </w:r>
      <w:r w:rsidRPr="00772681">
        <w:rPr>
          <w:smallCaps/>
        </w:rPr>
        <w:tab/>
      </w:r>
      <w:r w:rsidR="0071046E">
        <w:rPr>
          <w:smallCaps/>
        </w:rPr>
        <w:t>Rethinking</w:t>
      </w:r>
      <w:r w:rsidR="007814ED">
        <w:rPr>
          <w:smallCaps/>
        </w:rPr>
        <w:t xml:space="preserve"> the Absolute Finality Rule</w:t>
      </w:r>
      <w:r w:rsidRPr="00772681">
        <w:rPr>
          <w:smallCaps/>
        </w:rPr>
        <w:tab/>
      </w:r>
      <w:r w:rsidR="00EF4990">
        <w:rPr>
          <w:smallCaps/>
        </w:rPr>
        <w:t>39</w:t>
      </w:r>
    </w:p>
    <w:p w14:paraId="687309DB" w14:textId="4FEF95B2" w:rsidR="00FC5270" w:rsidRDefault="00FC5270" w:rsidP="00E431AB">
      <w:pPr>
        <w:pStyle w:val="BodyText"/>
        <w:tabs>
          <w:tab w:val="left" w:pos="-270"/>
          <w:tab w:val="right" w:leader="dot" w:pos="7920"/>
          <w:tab w:val="right" w:leader="dot" w:pos="8100"/>
        </w:tabs>
        <w:spacing w:after="60"/>
        <w:ind w:left="720" w:right="630" w:hanging="360"/>
      </w:pPr>
      <w:r w:rsidRPr="00FC5270">
        <w:t>A.</w:t>
      </w:r>
      <w:r w:rsidRPr="00FC5270">
        <w:tab/>
      </w:r>
      <w:r w:rsidR="00A85C60">
        <w:t>Separation of Powers</w:t>
      </w:r>
      <w:r w:rsidRPr="00FC5270">
        <w:tab/>
      </w:r>
      <w:r w:rsidR="00EF4990">
        <w:t>39</w:t>
      </w:r>
    </w:p>
    <w:p w14:paraId="15D7900C" w14:textId="354EB6DD" w:rsidR="007814ED" w:rsidRDefault="006B644B" w:rsidP="00E431AB">
      <w:pPr>
        <w:pStyle w:val="BodyText"/>
        <w:tabs>
          <w:tab w:val="left" w:pos="-270"/>
          <w:tab w:val="right" w:leader="dot" w:pos="7920"/>
          <w:tab w:val="right" w:leader="dot" w:pos="8100"/>
        </w:tabs>
        <w:spacing w:after="60"/>
        <w:ind w:left="720" w:right="630" w:hanging="360"/>
      </w:pPr>
      <w:r>
        <w:t>B</w:t>
      </w:r>
      <w:r w:rsidR="007814ED">
        <w:t>.</w:t>
      </w:r>
      <w:r w:rsidR="007814ED">
        <w:tab/>
      </w:r>
      <w:r w:rsidR="006343CA">
        <w:t>Doctrinal Reassessment</w:t>
      </w:r>
      <w:r w:rsidR="007814ED">
        <w:tab/>
      </w:r>
      <w:r w:rsidR="00EF4990">
        <w:t>41</w:t>
      </w:r>
    </w:p>
    <w:p w14:paraId="20671E26" w14:textId="27CA1706" w:rsidR="002F2547" w:rsidRPr="002D29E8" w:rsidRDefault="002F2547" w:rsidP="002F2547">
      <w:pPr>
        <w:pStyle w:val="BodyText"/>
        <w:tabs>
          <w:tab w:val="left" w:pos="-270"/>
          <w:tab w:val="right" w:leader="dot" w:pos="7920"/>
          <w:tab w:val="right" w:leader="dot" w:pos="8100"/>
        </w:tabs>
        <w:spacing w:after="60"/>
        <w:ind w:left="1080" w:right="630" w:hanging="360"/>
      </w:pPr>
      <w:r w:rsidRPr="002F2547">
        <w:rPr>
          <w:i/>
        </w:rPr>
        <w:t>1.</w:t>
      </w:r>
      <w:r w:rsidRPr="002F2547">
        <w:rPr>
          <w:i/>
        </w:rPr>
        <w:tab/>
        <w:t>The Basis of the Absolute Finality Rule</w:t>
      </w:r>
      <w:r w:rsidRPr="00F31D9B">
        <w:tab/>
      </w:r>
      <w:r w:rsidR="00EF4990">
        <w:t>41</w:t>
      </w:r>
    </w:p>
    <w:p w14:paraId="7BBD8A7B" w14:textId="0EE219C0" w:rsidR="002F2547" w:rsidRPr="002D29E8" w:rsidRDefault="002F2547" w:rsidP="002F2547">
      <w:pPr>
        <w:pStyle w:val="BodyText"/>
        <w:tabs>
          <w:tab w:val="left" w:pos="-270"/>
          <w:tab w:val="right" w:leader="dot" w:pos="7920"/>
          <w:tab w:val="right" w:leader="dot" w:pos="8100"/>
        </w:tabs>
        <w:spacing w:after="60"/>
        <w:ind w:left="1080" w:right="630" w:hanging="360"/>
      </w:pPr>
      <w:r w:rsidRPr="002F2547">
        <w:rPr>
          <w:i/>
        </w:rPr>
        <w:t>2.</w:t>
      </w:r>
      <w:r w:rsidRPr="002F2547">
        <w:rPr>
          <w:i/>
        </w:rPr>
        <w:tab/>
        <w:t>Issue Preclusion Finality</w:t>
      </w:r>
      <w:r w:rsidRPr="00F31D9B">
        <w:tab/>
      </w:r>
      <w:r w:rsidR="00EF4990">
        <w:t>45</w:t>
      </w:r>
    </w:p>
    <w:p w14:paraId="61954604" w14:textId="130282B1" w:rsidR="002F2547" w:rsidRPr="002D29E8" w:rsidRDefault="002F2547" w:rsidP="002F2547">
      <w:pPr>
        <w:pStyle w:val="BodyText"/>
        <w:tabs>
          <w:tab w:val="left" w:pos="-270"/>
          <w:tab w:val="right" w:leader="dot" w:pos="7920"/>
          <w:tab w:val="right" w:leader="dot" w:pos="8100"/>
        </w:tabs>
        <w:spacing w:after="60"/>
        <w:ind w:left="1080" w:right="630" w:hanging="360"/>
      </w:pPr>
      <w:r w:rsidRPr="002F2547">
        <w:rPr>
          <w:i/>
        </w:rPr>
        <w:t>3.</w:t>
      </w:r>
      <w:r w:rsidRPr="002F2547">
        <w:rPr>
          <w:i/>
        </w:rPr>
        <w:tab/>
        <w:t>Law of the Case</w:t>
      </w:r>
      <w:r w:rsidRPr="00F31D9B">
        <w:tab/>
      </w:r>
      <w:r w:rsidR="00EF4990">
        <w:t>48</w:t>
      </w:r>
    </w:p>
    <w:p w14:paraId="1CCF85D8" w14:textId="625C6CA8" w:rsidR="00BF6F6E" w:rsidRDefault="00D03176" w:rsidP="00E431AB">
      <w:pPr>
        <w:pStyle w:val="BodyText"/>
        <w:tabs>
          <w:tab w:val="left" w:pos="-270"/>
          <w:tab w:val="right" w:leader="dot" w:pos="7920"/>
          <w:tab w:val="right" w:leader="dot" w:pos="8100"/>
        </w:tabs>
        <w:spacing w:after="60"/>
        <w:ind w:left="720" w:right="630" w:hanging="360"/>
      </w:pPr>
      <w:r>
        <w:t>C.</w:t>
      </w:r>
      <w:r>
        <w:tab/>
        <w:t>Fairness</w:t>
      </w:r>
      <w:r w:rsidR="00BF6F6E">
        <w:tab/>
      </w:r>
      <w:r w:rsidR="00EF4990">
        <w:t>50</w:t>
      </w:r>
    </w:p>
    <w:p w14:paraId="211E0F48" w14:textId="0EC15741" w:rsidR="00FC5270" w:rsidRDefault="00BF6F6E" w:rsidP="00E431AB">
      <w:pPr>
        <w:pStyle w:val="BodyText"/>
        <w:tabs>
          <w:tab w:val="left" w:pos="-270"/>
          <w:tab w:val="right" w:leader="dot" w:pos="7920"/>
          <w:tab w:val="right" w:leader="dot" w:pos="8100"/>
        </w:tabs>
        <w:spacing w:after="60"/>
        <w:ind w:left="720" w:right="630" w:hanging="360"/>
      </w:pPr>
      <w:r>
        <w:t>D.</w:t>
      </w:r>
      <w:r>
        <w:tab/>
        <w:t>Litigation</w:t>
      </w:r>
      <w:r w:rsidR="00D831F1">
        <w:t xml:space="preserve"> Efficiency</w:t>
      </w:r>
      <w:r w:rsidR="00FC5270" w:rsidRPr="00FC5270">
        <w:tab/>
      </w:r>
      <w:r w:rsidR="00EF4990">
        <w:t>53</w:t>
      </w:r>
    </w:p>
    <w:p w14:paraId="10E67B30" w14:textId="2A3D1382" w:rsidR="00E97F25" w:rsidRDefault="00E97F25" w:rsidP="00E431AB">
      <w:pPr>
        <w:pStyle w:val="BodyText"/>
        <w:tabs>
          <w:tab w:val="left" w:pos="-270"/>
          <w:tab w:val="right" w:leader="dot" w:pos="7920"/>
          <w:tab w:val="right" w:leader="dot" w:pos="8100"/>
        </w:tabs>
        <w:spacing w:after="60"/>
        <w:ind w:left="720" w:right="630" w:hanging="360"/>
      </w:pPr>
      <w:r>
        <w:t>E.</w:t>
      </w:r>
      <w:r>
        <w:tab/>
        <w:t xml:space="preserve">Absolute Finality </w:t>
      </w:r>
      <w:proofErr w:type="gramStart"/>
      <w:r>
        <w:t>Versus</w:t>
      </w:r>
      <w:proofErr w:type="gramEnd"/>
      <w:r>
        <w:t xml:space="preserve"> the Alternatives</w:t>
      </w:r>
      <w:r>
        <w:tab/>
      </w:r>
      <w:r w:rsidR="00EF4990">
        <w:t>55</w:t>
      </w:r>
    </w:p>
    <w:p w14:paraId="194BB970" w14:textId="0422333A" w:rsidR="00F01EDC" w:rsidRDefault="00F01EDC" w:rsidP="00E431AB">
      <w:pPr>
        <w:pStyle w:val="BodyText"/>
        <w:tabs>
          <w:tab w:val="left" w:pos="-270"/>
          <w:tab w:val="right" w:leader="dot" w:pos="7920"/>
          <w:tab w:val="right" w:leader="dot" w:pos="8100"/>
        </w:tabs>
        <w:spacing w:after="60"/>
        <w:ind w:left="360" w:right="630" w:hanging="360"/>
      </w:pPr>
      <w:r w:rsidRPr="005F70C3">
        <w:rPr>
          <w:smallCaps/>
        </w:rPr>
        <w:t>IV.</w:t>
      </w:r>
      <w:r w:rsidRPr="005F70C3">
        <w:rPr>
          <w:smallCaps/>
        </w:rPr>
        <w:tab/>
      </w:r>
      <w:r w:rsidR="0071046E">
        <w:rPr>
          <w:smallCaps/>
        </w:rPr>
        <w:t>The Future of</w:t>
      </w:r>
      <w:r>
        <w:rPr>
          <w:smallCaps/>
        </w:rPr>
        <w:t xml:space="preserve"> Absolute Finality</w:t>
      </w:r>
      <w:r>
        <w:rPr>
          <w:smallCaps/>
        </w:rPr>
        <w:tab/>
      </w:r>
      <w:r w:rsidR="00EF4990">
        <w:rPr>
          <w:smallCaps/>
        </w:rPr>
        <w:t>56</w:t>
      </w:r>
    </w:p>
    <w:p w14:paraId="547EC14D" w14:textId="2F13F91C" w:rsidR="007814ED" w:rsidRDefault="00F01EDC" w:rsidP="00E431AB">
      <w:pPr>
        <w:pStyle w:val="BodyText"/>
        <w:tabs>
          <w:tab w:val="left" w:pos="-270"/>
          <w:tab w:val="right" w:leader="dot" w:pos="7920"/>
          <w:tab w:val="right" w:leader="dot" w:pos="8100"/>
        </w:tabs>
        <w:spacing w:after="60"/>
        <w:ind w:left="720" w:right="630" w:hanging="360"/>
      </w:pPr>
      <w:r>
        <w:t>A</w:t>
      </w:r>
      <w:r w:rsidR="007814ED">
        <w:t>.</w:t>
      </w:r>
      <w:r w:rsidR="007814ED">
        <w:tab/>
      </w:r>
      <w:r w:rsidR="0071046E">
        <w:t xml:space="preserve">Court-PTO Conflicts After the </w:t>
      </w:r>
      <w:r w:rsidR="00372B9B">
        <w:t>America Invents Act</w:t>
      </w:r>
      <w:r>
        <w:tab/>
      </w:r>
      <w:r w:rsidR="00EF4990">
        <w:t>57</w:t>
      </w:r>
    </w:p>
    <w:p w14:paraId="68ABC3F1" w14:textId="2C487420" w:rsidR="00E826C4" w:rsidRPr="00FC5270" w:rsidRDefault="00F01EDC" w:rsidP="00E431AB">
      <w:pPr>
        <w:pStyle w:val="BodyText"/>
        <w:tabs>
          <w:tab w:val="left" w:pos="-270"/>
          <w:tab w:val="right" w:leader="dot" w:pos="7920"/>
          <w:tab w:val="right" w:leader="dot" w:pos="8100"/>
        </w:tabs>
        <w:spacing w:after="60"/>
        <w:ind w:left="720" w:right="630" w:hanging="360"/>
      </w:pPr>
      <w:r>
        <w:t>B</w:t>
      </w:r>
      <w:r w:rsidR="00E826C4">
        <w:t>.</w:t>
      </w:r>
      <w:r w:rsidR="00E826C4">
        <w:tab/>
      </w:r>
      <w:r w:rsidR="0071046E">
        <w:t>Legislative Solutions</w:t>
      </w:r>
      <w:r w:rsidR="00E826C4">
        <w:tab/>
      </w:r>
      <w:r w:rsidR="00EF4990">
        <w:t>59</w:t>
      </w:r>
    </w:p>
    <w:p w14:paraId="1985F8B4" w14:textId="729BB801" w:rsidR="005424EB" w:rsidRPr="00772681" w:rsidRDefault="005424EB" w:rsidP="00E431AB">
      <w:pPr>
        <w:pStyle w:val="BodyText"/>
        <w:widowControl w:val="0"/>
        <w:tabs>
          <w:tab w:val="right" w:leader="dot" w:pos="7920"/>
        </w:tabs>
        <w:ind w:left="360" w:right="630" w:hanging="360"/>
        <w:rPr>
          <w:smallCaps/>
        </w:rPr>
      </w:pPr>
      <w:r>
        <w:rPr>
          <w:smallCaps/>
        </w:rPr>
        <w:t>Conclusion</w:t>
      </w:r>
      <w:r w:rsidRPr="00772681">
        <w:rPr>
          <w:smallCaps/>
        </w:rPr>
        <w:tab/>
      </w:r>
      <w:r w:rsidR="00EF4990">
        <w:rPr>
          <w:smallCaps/>
        </w:rPr>
        <w:t>64</w:t>
      </w:r>
    </w:p>
    <w:p w14:paraId="43A2D700" w14:textId="77777777" w:rsidR="002A708A" w:rsidRPr="009039D5" w:rsidRDefault="005424EB" w:rsidP="00324DC6">
      <w:pPr>
        <w:keepNext/>
        <w:ind w:firstLine="0"/>
        <w:jc w:val="center"/>
        <w:rPr>
          <w:smallCaps/>
        </w:rPr>
      </w:pPr>
      <w:r w:rsidRPr="009039D5">
        <w:rPr>
          <w:smallCaps/>
        </w:rPr>
        <w:t>I</w:t>
      </w:r>
      <w:r w:rsidR="002A708A" w:rsidRPr="009039D5">
        <w:rPr>
          <w:smallCaps/>
        </w:rPr>
        <w:t>ntroduction</w:t>
      </w:r>
    </w:p>
    <w:p w14:paraId="3F624B3D" w14:textId="1A7C5896" w:rsidR="00FB1DA6" w:rsidRPr="00A65729" w:rsidRDefault="00FB1DA6" w:rsidP="009C746E">
      <w:pPr>
        <w:pStyle w:val="BodyText"/>
        <w:ind w:firstLine="360"/>
        <w:jc w:val="both"/>
      </w:pPr>
      <w:r>
        <w:t xml:space="preserve">In 1935, </w:t>
      </w:r>
      <w:r w:rsidR="00F21E6E">
        <w:t xml:space="preserve">the </w:t>
      </w:r>
      <w:r>
        <w:t>physicist Erwin Sch</w:t>
      </w:r>
      <w:r w:rsidR="009C746E">
        <w:t>rö</w:t>
      </w:r>
      <w:r>
        <w:t>dinger illustrate</w:t>
      </w:r>
      <w:r w:rsidR="00F21E6E">
        <w:t>d</w:t>
      </w:r>
      <w:r>
        <w:t xml:space="preserve"> a paradox in quantum </w:t>
      </w:r>
      <w:r w:rsidR="00F21056">
        <w:t>theory</w:t>
      </w:r>
      <w:r w:rsidR="00F21E6E">
        <w:t xml:space="preserve"> with a thought experiment</w:t>
      </w:r>
      <w:r>
        <w:t>.</w:t>
      </w:r>
      <w:r w:rsidR="00FF51B0">
        <w:rPr>
          <w:rStyle w:val="FootnoteReference"/>
        </w:rPr>
        <w:footnoteReference w:id="2"/>
      </w:r>
      <w:r w:rsidR="009C746E">
        <w:t xml:space="preserve"> </w:t>
      </w:r>
      <w:r w:rsidR="002420C1">
        <w:t xml:space="preserve"> </w:t>
      </w:r>
      <w:r w:rsidR="004256FA">
        <w:t xml:space="preserve">Imagine, </w:t>
      </w:r>
      <w:r w:rsidR="009C746E">
        <w:t>Schr</w:t>
      </w:r>
      <w:r w:rsidR="004256FA">
        <w:t>ö</w:t>
      </w:r>
      <w:r w:rsidR="009C746E">
        <w:t xml:space="preserve">dinger suggested, </w:t>
      </w:r>
      <w:r w:rsidR="004256FA">
        <w:t>a</w:t>
      </w:r>
      <w:r w:rsidR="002420C1">
        <w:t xml:space="preserve"> </w:t>
      </w:r>
      <w:r w:rsidR="00704187">
        <w:t xml:space="preserve">closed </w:t>
      </w:r>
      <w:r w:rsidR="002420C1">
        <w:t xml:space="preserve">box </w:t>
      </w:r>
      <w:r w:rsidR="00704187">
        <w:t>containing</w:t>
      </w:r>
      <w:r w:rsidR="002420C1">
        <w:t xml:space="preserve"> </w:t>
      </w:r>
      <w:r w:rsidR="00704187">
        <w:t xml:space="preserve">radioactive material, </w:t>
      </w:r>
      <w:r w:rsidR="00FB2866">
        <w:t>poison</w:t>
      </w:r>
      <w:r w:rsidR="00F21E6E">
        <w:t xml:space="preserve"> in a glass bottle</w:t>
      </w:r>
      <w:r w:rsidR="00704187">
        <w:t>, and a live cat</w:t>
      </w:r>
      <w:r w:rsidR="009C746E">
        <w:t xml:space="preserve">.  </w:t>
      </w:r>
      <w:r w:rsidR="0043623B">
        <w:t>If</w:t>
      </w:r>
      <w:r w:rsidR="009C746E">
        <w:t xml:space="preserve"> </w:t>
      </w:r>
      <w:r w:rsidR="0043623B">
        <w:t>an</w:t>
      </w:r>
      <w:r w:rsidR="002420C1">
        <w:t xml:space="preserve"> atom </w:t>
      </w:r>
      <w:r w:rsidR="00704187">
        <w:t xml:space="preserve">of the radioactive material </w:t>
      </w:r>
      <w:r w:rsidR="009C746E">
        <w:t>decay</w:t>
      </w:r>
      <w:r w:rsidR="0043623B">
        <w:t>s</w:t>
      </w:r>
      <w:r w:rsidR="00704187">
        <w:t xml:space="preserve"> while the cat is in the box</w:t>
      </w:r>
      <w:r w:rsidR="0043623B">
        <w:t xml:space="preserve">, </w:t>
      </w:r>
      <w:r w:rsidR="004256FA">
        <w:t>a mechanism breaks the bottle</w:t>
      </w:r>
      <w:r w:rsidR="006D0BF0">
        <w:t xml:space="preserve">, releasing the </w:t>
      </w:r>
      <w:r w:rsidR="00FB2866">
        <w:t>poison</w:t>
      </w:r>
      <w:r w:rsidR="006D0BF0">
        <w:t xml:space="preserve"> and killing the cat</w:t>
      </w:r>
      <w:r w:rsidR="004256FA">
        <w:t>.</w:t>
      </w:r>
      <w:r w:rsidR="00F126C5">
        <w:t xml:space="preserve">  In our everyday world, the cat, while in the box, exists in one of two states:  it is either alive or dead, depending on whether or not atomic decay has occurred.  </w:t>
      </w:r>
      <w:r w:rsidR="00B655DF">
        <w:t>A</w:t>
      </w:r>
      <w:r w:rsidR="00F126C5">
        <w:t xml:space="preserve">ccording to quantum theory, </w:t>
      </w:r>
      <w:r w:rsidR="00B655DF">
        <w:lastRenderedPageBreak/>
        <w:t xml:space="preserve">however, </w:t>
      </w:r>
      <w:r w:rsidR="00F126C5">
        <w:t>one cannot know</w:t>
      </w:r>
      <w:r w:rsidR="004C3968">
        <w:t xml:space="preserve"> for certain</w:t>
      </w:r>
      <w:r w:rsidR="00F126C5">
        <w:t xml:space="preserve"> whether decay has occurred without observing it.  T</w:t>
      </w:r>
      <w:r w:rsidR="00152517">
        <w:t>hus, until the box is opened, the cat seems to exist in an indeterminate state, both alive and dead.</w:t>
      </w:r>
      <w:r w:rsidR="00F126C5">
        <w:t xml:space="preserve">  Yet, in reality, it </w:t>
      </w:r>
      <w:r w:rsidR="00F126C5" w:rsidRPr="00F21056">
        <w:t>must</w:t>
      </w:r>
      <w:r w:rsidR="00F126C5">
        <w:t xml:space="preserve"> be one or the other.</w:t>
      </w:r>
      <w:r w:rsidR="00152517">
        <w:t xml:space="preserve">  </w:t>
      </w:r>
    </w:p>
    <w:p w14:paraId="7C371B50" w14:textId="4A5861FF" w:rsidR="001C3A0F" w:rsidRDefault="006D0BF0" w:rsidP="009B1563">
      <w:pPr>
        <w:pStyle w:val="BodyText"/>
        <w:ind w:firstLine="360"/>
        <w:jc w:val="both"/>
      </w:pPr>
      <w:r>
        <w:t>L</w:t>
      </w:r>
      <w:r w:rsidRPr="0049448C">
        <w:t>ike Schrödinger’s cat</w:t>
      </w:r>
      <w:r>
        <w:t xml:space="preserve">, </w:t>
      </w:r>
      <w:r w:rsidR="00F103A6">
        <w:t xml:space="preserve">some </w:t>
      </w:r>
      <w:r>
        <w:t>U.S.</w:t>
      </w:r>
      <w:r w:rsidRPr="0049448C">
        <w:t xml:space="preserve"> patents </w:t>
      </w:r>
      <w:r w:rsidR="00A65729">
        <w:t xml:space="preserve">seem to </w:t>
      </w:r>
      <w:r w:rsidR="00A03F8F">
        <w:t>exist in an indeterminate state</w:t>
      </w:r>
      <w:r w:rsidR="00F103A6">
        <w:t xml:space="preserve"> </w:t>
      </w:r>
      <w:r w:rsidR="00DC5AA1">
        <w:t>because of</w:t>
      </w:r>
      <w:r w:rsidR="00F103A6">
        <w:t xml:space="preserve"> conflicting decisions </w:t>
      </w:r>
      <w:r w:rsidR="00E676F4">
        <w:t>about</w:t>
      </w:r>
      <w:r w:rsidR="00F103A6">
        <w:t xml:space="preserve"> </w:t>
      </w:r>
      <w:r w:rsidR="00DC5AA1">
        <w:t>their</w:t>
      </w:r>
      <w:r w:rsidR="00F103A6">
        <w:t xml:space="preserve"> validity</w:t>
      </w:r>
      <w:r w:rsidR="00A03F8F">
        <w:t>.</w:t>
      </w:r>
      <w:r w:rsidR="0043623B">
        <w:t xml:space="preserve"> </w:t>
      </w:r>
      <w:r w:rsidR="00A03F8F">
        <w:t xml:space="preserve"> </w:t>
      </w:r>
      <w:r w:rsidR="009D792D">
        <w:t>T</w:t>
      </w:r>
      <w:r w:rsidR="00A80D16">
        <w:t xml:space="preserve">he </w:t>
      </w:r>
      <w:r w:rsidR="00DC5AA1">
        <w:t>Patent and Trademark Office</w:t>
      </w:r>
      <w:r w:rsidR="008C6CE6">
        <w:t xml:space="preserve"> </w:t>
      </w:r>
      <w:r w:rsidR="00F8302F">
        <w:t>may</w:t>
      </w:r>
      <w:r w:rsidR="009D792D">
        <w:t xml:space="preserve"> issue</w:t>
      </w:r>
      <w:r w:rsidR="003E5FA5">
        <w:t xml:space="preserve"> a patent</w:t>
      </w:r>
      <w:r w:rsidR="009D792D">
        <w:t xml:space="preserve"> only if</w:t>
      </w:r>
      <w:r w:rsidR="00F8302F">
        <w:t>, in its view,</w:t>
      </w:r>
      <w:r w:rsidR="009D792D">
        <w:t xml:space="preserve"> the patent </w:t>
      </w:r>
      <w:r w:rsidR="003E5FA5">
        <w:t xml:space="preserve">satisfies the requirements </w:t>
      </w:r>
      <w:r w:rsidR="009D792D">
        <w:t>of</w:t>
      </w:r>
      <w:r w:rsidR="003E5FA5">
        <w:t xml:space="preserve"> the </w:t>
      </w:r>
      <w:r w:rsidR="00A94D2D">
        <w:t xml:space="preserve">federal </w:t>
      </w:r>
      <w:r w:rsidR="003E5FA5">
        <w:t>Patent Act.</w:t>
      </w:r>
      <w:bookmarkStart w:id="2" w:name="_Ref430708544"/>
      <w:r w:rsidR="003E5FA5">
        <w:rPr>
          <w:rStyle w:val="FootnoteReference"/>
        </w:rPr>
        <w:footnoteReference w:id="3"/>
      </w:r>
      <w:bookmarkEnd w:id="2"/>
      <w:r w:rsidR="003E5FA5">
        <w:t xml:space="preserve">  In a subsequent lawsuit involving that patent, howeve</w:t>
      </w:r>
      <w:r w:rsidR="009D792D">
        <w:t xml:space="preserve">r, </w:t>
      </w:r>
      <w:r w:rsidR="00F103A6">
        <w:t>a court</w:t>
      </w:r>
      <w:r w:rsidR="009D792D">
        <w:t xml:space="preserve"> can </w:t>
      </w:r>
      <w:r w:rsidR="003E5FA5">
        <w:t xml:space="preserve">declare </w:t>
      </w:r>
      <w:r w:rsidR="00A03F8F">
        <w:t>the</w:t>
      </w:r>
      <w:r w:rsidR="003E5FA5">
        <w:t xml:space="preserve"> patent </w:t>
      </w:r>
      <w:r w:rsidR="00F103A6">
        <w:t xml:space="preserve">to be </w:t>
      </w:r>
      <w:r w:rsidR="003E5FA5">
        <w:t>invalid</w:t>
      </w:r>
      <w:r w:rsidR="009D792D">
        <w:t xml:space="preserve">, </w:t>
      </w:r>
      <w:r w:rsidR="007A39BE">
        <w:t>which</w:t>
      </w:r>
      <w:r w:rsidR="009D792D">
        <w:t xml:space="preserve"> happens </w:t>
      </w:r>
      <w:r w:rsidR="002E3D6D">
        <w:t xml:space="preserve">in </w:t>
      </w:r>
      <w:r w:rsidR="00173D22">
        <w:t>nearly</w:t>
      </w:r>
      <w:r w:rsidR="002E3D6D">
        <w:t xml:space="preserve"> half of all patent cases litigated to a final judgment on the issue of validity</w:t>
      </w:r>
      <w:r w:rsidR="003E5FA5">
        <w:t>.</w:t>
      </w:r>
      <w:r w:rsidR="003E5FA5">
        <w:rPr>
          <w:rStyle w:val="FootnoteReference"/>
        </w:rPr>
        <w:footnoteReference w:id="4"/>
      </w:r>
      <w:r w:rsidR="00A80D16">
        <w:t xml:space="preserve">  </w:t>
      </w:r>
      <w:r w:rsidR="00E5676F">
        <w:t xml:space="preserve">When a court </w:t>
      </w:r>
      <w:r w:rsidR="00235060">
        <w:t>finds a patent to be invalid</w:t>
      </w:r>
      <w:r w:rsidR="00E5676F">
        <w:t>, there is no indeterminacy</w:t>
      </w:r>
      <w:r w:rsidR="00235060">
        <w:t xml:space="preserve"> about the patent’s </w:t>
      </w:r>
      <w:r w:rsidR="00153DFD">
        <w:t>legal status</w:t>
      </w:r>
      <w:r w:rsidR="00E5676F">
        <w:t>.  The Supreme Court has held that a court ruling of invalidity precludes the patent holder from ever again enforcing the patent</w:t>
      </w:r>
      <w:r w:rsidR="008C6CE6">
        <w:t>.</w:t>
      </w:r>
      <w:bookmarkStart w:id="3" w:name="_Ref432758275"/>
      <w:r w:rsidR="008C6CE6">
        <w:rPr>
          <w:rStyle w:val="FootnoteReference"/>
        </w:rPr>
        <w:footnoteReference w:id="5"/>
      </w:r>
      <w:bookmarkEnd w:id="3"/>
      <w:r w:rsidR="009B1563">
        <w:t xml:space="preserve">  </w:t>
      </w:r>
    </w:p>
    <w:p w14:paraId="2D224D31" w14:textId="4D5CA744" w:rsidR="007A39BE" w:rsidRDefault="0087728E" w:rsidP="009B1563">
      <w:pPr>
        <w:pStyle w:val="BodyText"/>
        <w:ind w:firstLine="360"/>
        <w:jc w:val="both"/>
      </w:pPr>
      <w:r>
        <w:t xml:space="preserve">Litigation, however, is not the </w:t>
      </w:r>
      <w:r w:rsidR="00372B9B">
        <w:t xml:space="preserve">only way the validity of an issued patent can be reviewed.  The PTO offers several proceedings through which an accused infringer can ask the agency to reconsider </w:t>
      </w:r>
      <w:r w:rsidR="00235060">
        <w:t>a</w:t>
      </w:r>
      <w:r w:rsidR="00372B9B">
        <w:t xml:space="preserve"> patent’s validity.  </w:t>
      </w:r>
      <w:r w:rsidR="00F80AEB">
        <w:t xml:space="preserve">These post-issuance proceedings have become </w:t>
      </w:r>
      <w:r w:rsidR="00153DFD">
        <w:t>very</w:t>
      </w:r>
      <w:r w:rsidR="00F80AEB">
        <w:t xml:space="preserve"> popular in the past few years, </w:t>
      </w:r>
      <w:r w:rsidR="00D56461">
        <w:t>due</w:t>
      </w:r>
      <w:r w:rsidR="00235060">
        <w:t xml:space="preserve"> largely </w:t>
      </w:r>
      <w:r w:rsidR="00240B7E">
        <w:t>to the America Invents Act</w:t>
      </w:r>
      <w:r w:rsidR="00F80AEB">
        <w:t>, which Congress passed in 2011.</w:t>
      </w:r>
      <w:r w:rsidR="00235060">
        <w:rPr>
          <w:rStyle w:val="FootnoteReference"/>
        </w:rPr>
        <w:footnoteReference w:id="6"/>
      </w:r>
      <w:r w:rsidR="00B655DF">
        <w:t xml:space="preserve">  Consequently, i</w:t>
      </w:r>
      <w:r w:rsidR="00FE5DB1">
        <w:t>n several recent cases, a</w:t>
      </w:r>
      <w:r w:rsidR="00E03CE6">
        <w:t xml:space="preserve"> court </w:t>
      </w:r>
      <w:r w:rsidR="00153DFD">
        <w:t>has</w:t>
      </w:r>
      <w:r w:rsidR="002A3DD2">
        <w:t xml:space="preserve"> </w:t>
      </w:r>
      <w:r w:rsidR="00B655DF">
        <w:t xml:space="preserve">ruled in the patent holder’s favor on the issue of validity, found the patent to be infringed, </w:t>
      </w:r>
      <w:r w:rsidR="00F80AEB">
        <w:t>and award</w:t>
      </w:r>
      <w:r w:rsidR="00FE5DB1">
        <w:t>ed</w:t>
      </w:r>
      <w:r w:rsidR="001C4767">
        <w:t xml:space="preserve"> damages</w:t>
      </w:r>
      <w:r w:rsidR="00FE5DB1">
        <w:t>, but</w:t>
      </w:r>
      <w:r w:rsidR="00A80D16">
        <w:t xml:space="preserve"> the PTO, i</w:t>
      </w:r>
      <w:r w:rsidR="00C81CC6">
        <w:t xml:space="preserve">n </w:t>
      </w:r>
      <w:r w:rsidR="00A80D16">
        <w:t xml:space="preserve">a </w:t>
      </w:r>
      <w:r w:rsidR="00153DFD">
        <w:t xml:space="preserve">concurrent </w:t>
      </w:r>
      <w:r w:rsidR="00C81CC6">
        <w:t xml:space="preserve">proceeding, </w:t>
      </w:r>
      <w:r w:rsidR="007A39BE">
        <w:t xml:space="preserve">ruled </w:t>
      </w:r>
      <w:r w:rsidR="00372B9B">
        <w:t>the patent</w:t>
      </w:r>
      <w:r w:rsidR="00AB17D6">
        <w:t xml:space="preserve"> to be invalid</w:t>
      </w:r>
      <w:r w:rsidR="00F21E6E">
        <w:t>.</w:t>
      </w:r>
      <w:r w:rsidR="00F8302F">
        <w:t xml:space="preserve">  </w:t>
      </w:r>
      <w:r w:rsidR="001C4767">
        <w:t>Like</w:t>
      </w:r>
      <w:r w:rsidR="00F8302F">
        <w:t xml:space="preserve"> Schrödinger</w:t>
      </w:r>
      <w:r w:rsidR="001C4767">
        <w:t xml:space="preserve">’s cat, </w:t>
      </w:r>
      <w:r w:rsidR="00F80AEB">
        <w:t xml:space="preserve">which </w:t>
      </w:r>
      <w:r w:rsidR="00A65729">
        <w:t>seemed to be</w:t>
      </w:r>
      <w:r w:rsidR="00F80AEB">
        <w:t xml:space="preserve"> </w:t>
      </w:r>
      <w:r w:rsidR="00DC5AA1">
        <w:t>both</w:t>
      </w:r>
      <w:r w:rsidR="00F80AEB">
        <w:t xml:space="preserve"> </w:t>
      </w:r>
      <w:r w:rsidR="00DC5AA1">
        <w:t>alive</w:t>
      </w:r>
      <w:r w:rsidR="00F80AEB">
        <w:t xml:space="preserve"> </w:t>
      </w:r>
      <w:r w:rsidR="00DC5AA1">
        <w:t>and</w:t>
      </w:r>
      <w:r w:rsidR="00F80AEB">
        <w:t xml:space="preserve"> </w:t>
      </w:r>
      <w:r w:rsidR="00DC5AA1">
        <w:t>dead</w:t>
      </w:r>
      <w:r w:rsidR="001C4767">
        <w:t xml:space="preserve">, these patents </w:t>
      </w:r>
      <w:r w:rsidR="00A65729">
        <w:t>appear to be</w:t>
      </w:r>
      <w:r w:rsidR="001C4767">
        <w:t xml:space="preserve"> </w:t>
      </w:r>
      <w:r w:rsidR="00F8302F">
        <w:t xml:space="preserve">both valid </w:t>
      </w:r>
      <w:r w:rsidR="00056B5B">
        <w:t>(</w:t>
      </w:r>
      <w:r w:rsidR="00153DFD">
        <w:t>according to</w:t>
      </w:r>
      <w:r w:rsidR="00056B5B">
        <w:t xml:space="preserve"> the court) </w:t>
      </w:r>
      <w:r w:rsidR="00F8302F">
        <w:t>and invalid</w:t>
      </w:r>
      <w:r w:rsidR="00153DFD">
        <w:t xml:space="preserve"> (according to </w:t>
      </w:r>
      <w:r w:rsidR="00056B5B">
        <w:t>the PTO)</w:t>
      </w:r>
      <w:r w:rsidR="00EF6E5A">
        <w:t>.</w:t>
      </w:r>
      <w:r w:rsidR="007A39BE">
        <w:t xml:space="preserve">  </w:t>
      </w:r>
    </w:p>
    <w:p w14:paraId="1741033A" w14:textId="025E8B66" w:rsidR="00D56461" w:rsidRDefault="00FE5DB1" w:rsidP="00D870FA">
      <w:pPr>
        <w:pStyle w:val="BodyText"/>
        <w:ind w:firstLine="360"/>
        <w:jc w:val="both"/>
      </w:pPr>
      <w:r>
        <w:t>Resolving the legal status of these patents is critically important</w:t>
      </w:r>
      <w:r w:rsidR="007A39BE">
        <w:t>.</w:t>
      </w:r>
      <w:r>
        <w:t xml:space="preserve">  </w:t>
      </w:r>
      <w:r w:rsidR="00F21056">
        <w:t xml:space="preserve">Most patents </w:t>
      </w:r>
      <w:r>
        <w:t xml:space="preserve">in post-issuance review </w:t>
      </w:r>
      <w:r w:rsidR="00DC5AA1">
        <w:t xml:space="preserve">at the PTO </w:t>
      </w:r>
      <w:r>
        <w:t xml:space="preserve">are </w:t>
      </w:r>
      <w:r w:rsidRPr="00FE5DB1">
        <w:t>also</w:t>
      </w:r>
      <w:r>
        <w:t xml:space="preserve"> involved in litigation between the same parties</w:t>
      </w:r>
      <w:r w:rsidR="00DB0A40">
        <w:t>.</w:t>
      </w:r>
      <w:bookmarkStart w:id="4" w:name="_Ref300404077"/>
      <w:r>
        <w:rPr>
          <w:rStyle w:val="FootnoteReference"/>
        </w:rPr>
        <w:footnoteReference w:id="7"/>
      </w:r>
      <w:bookmarkEnd w:id="4"/>
      <w:r w:rsidR="00D56461">
        <w:t xml:space="preserve">  C</w:t>
      </w:r>
      <w:r>
        <w:t>ourt</w:t>
      </w:r>
      <w:r w:rsidR="000A5E0E">
        <w:t>s often stay litigation</w:t>
      </w:r>
      <w:r>
        <w:t xml:space="preserve"> pending </w:t>
      </w:r>
      <w:r w:rsidR="00240B7E">
        <w:t xml:space="preserve">PTO </w:t>
      </w:r>
      <w:r>
        <w:t xml:space="preserve">review, </w:t>
      </w:r>
      <w:r w:rsidR="00D56461">
        <w:t xml:space="preserve">but </w:t>
      </w:r>
      <w:r>
        <w:t xml:space="preserve">a stay is not </w:t>
      </w:r>
      <w:r>
        <w:lastRenderedPageBreak/>
        <w:t>automatic</w:t>
      </w:r>
      <w:r w:rsidR="000A5E0E">
        <w:t>.</w:t>
      </w:r>
      <w:bookmarkStart w:id="5" w:name="_Ref300403927"/>
      <w:r>
        <w:rPr>
          <w:rStyle w:val="FootnoteReference"/>
        </w:rPr>
        <w:footnoteReference w:id="8"/>
      </w:r>
      <w:bookmarkEnd w:id="5"/>
      <w:r w:rsidR="000A5E0E">
        <w:t xml:space="preserve">  And the PTO is not allowed to stay its proceedings</w:t>
      </w:r>
      <w:r w:rsidR="00D56461">
        <w:t>—it must move forward with post-issuance review regardless of any</w:t>
      </w:r>
      <w:r w:rsidR="000A5E0E">
        <w:t xml:space="preserve"> pending litigation.</w:t>
      </w:r>
      <w:r w:rsidR="000A5E0E">
        <w:rPr>
          <w:rStyle w:val="FootnoteReference"/>
        </w:rPr>
        <w:footnoteReference w:id="9"/>
      </w:r>
      <w:r w:rsidR="00926E31">
        <w:t xml:space="preserve">  In fact, conflicting court and PTO decisions are at the heart of the</w:t>
      </w:r>
      <w:r w:rsidR="00AE4B38">
        <w:t xml:space="preserve"> most high-profile patent dispute pending today:  the</w:t>
      </w:r>
      <w:r w:rsidR="00926E31">
        <w:t xml:space="preserve"> long-running</w:t>
      </w:r>
      <w:r w:rsidR="00AE4B38">
        <w:t xml:space="preserve"> battle be</w:t>
      </w:r>
      <w:r w:rsidR="00926E31">
        <w:t xml:space="preserve">tween smartphone behemoths Apple and Samsung.  </w:t>
      </w:r>
      <w:r w:rsidR="00CC1177">
        <w:t>A</w:t>
      </w:r>
      <w:r w:rsidR="00A11937">
        <w:t xml:space="preserve"> court </w:t>
      </w:r>
      <w:r w:rsidR="00CC1177">
        <w:t xml:space="preserve">has </w:t>
      </w:r>
      <w:r w:rsidR="00A11937">
        <w:t>awarded Apple $548 million in damages for patent infringement, but</w:t>
      </w:r>
      <w:r w:rsidR="00CC1177">
        <w:t>, in proceedings concurrent with the litigation,</w:t>
      </w:r>
      <w:r w:rsidR="00A11937">
        <w:t xml:space="preserve"> the PTO ruled that one of Apple’s infringed patents is invalid</w:t>
      </w:r>
      <w:r w:rsidR="00CC1177">
        <w:t>, so</w:t>
      </w:r>
      <w:r w:rsidR="00A11937">
        <w:t xml:space="preserve"> the </w:t>
      </w:r>
      <w:r w:rsidR="00AE4B38">
        <w:t xml:space="preserve">parties are vigorously litigating </w:t>
      </w:r>
      <w:r w:rsidR="00926E31">
        <w:t xml:space="preserve">whether Apple can collect </w:t>
      </w:r>
      <w:r w:rsidR="00A11937">
        <w:t>on its</w:t>
      </w:r>
      <w:r w:rsidR="00CC1177">
        <w:t xml:space="preserve"> half-billion-dollar</w:t>
      </w:r>
      <w:r w:rsidR="00A11937">
        <w:t xml:space="preserve"> judgment.</w:t>
      </w:r>
      <w:r w:rsidR="00AE4B38">
        <w:rPr>
          <w:rStyle w:val="FootnoteReference"/>
        </w:rPr>
        <w:footnoteReference w:id="10"/>
      </w:r>
      <w:r w:rsidR="00926E31">
        <w:t xml:space="preserve">    </w:t>
      </w:r>
      <w:r w:rsidR="00D870FA">
        <w:t xml:space="preserve">  </w:t>
      </w:r>
    </w:p>
    <w:p w14:paraId="2EB5936F" w14:textId="1D67BE0A" w:rsidR="00BA69BF" w:rsidRDefault="00A11937" w:rsidP="00D870FA">
      <w:pPr>
        <w:pStyle w:val="BodyText"/>
        <w:ind w:firstLine="360"/>
        <w:jc w:val="both"/>
      </w:pPr>
      <w:r>
        <w:t>P</w:t>
      </w:r>
      <w:r w:rsidR="000A5E0E">
        <w:t>arallel proceedings</w:t>
      </w:r>
      <w:r w:rsidR="00D56461">
        <w:t xml:space="preserve"> and conflicting decisions</w:t>
      </w:r>
      <w:r>
        <w:t>, such as those that occurred in the Apple-Samsung case,</w:t>
      </w:r>
      <w:r w:rsidR="00D56461">
        <w:t xml:space="preserve"> are increasingly common</w:t>
      </w:r>
      <w:bookmarkStart w:id="6" w:name="_Ref300816758"/>
      <w:r w:rsidR="00AE4B38">
        <w:t>.</w:t>
      </w:r>
      <w:r w:rsidR="00DF765E">
        <w:rPr>
          <w:rStyle w:val="FootnoteReference"/>
        </w:rPr>
        <w:footnoteReference w:id="11"/>
      </w:r>
      <w:bookmarkEnd w:id="6"/>
      <w:r w:rsidR="00D56461">
        <w:t xml:space="preserve"> </w:t>
      </w:r>
      <w:r w:rsidR="00AE4B38">
        <w:t xml:space="preserve"> </w:t>
      </w:r>
      <w:r>
        <w:t>B</w:t>
      </w:r>
      <w:r w:rsidR="00240B7E">
        <w:t>efore 2013,</w:t>
      </w:r>
      <w:r>
        <w:t xml:space="preserve"> however,</w:t>
      </w:r>
      <w:r w:rsidR="00240B7E">
        <w:t xml:space="preserve"> </w:t>
      </w:r>
      <w:r w:rsidR="00D870FA">
        <w:t>there were precis</w:t>
      </w:r>
      <w:r w:rsidR="00D56461">
        <w:t xml:space="preserve">ely zero precedential appellate </w:t>
      </w:r>
      <w:r w:rsidR="00D870FA">
        <w:t xml:space="preserve">opinions </w:t>
      </w:r>
      <w:r w:rsidR="00310786">
        <w:t>considering</w:t>
      </w:r>
      <w:r w:rsidR="00D870FA">
        <w:t xml:space="preserve"> </w:t>
      </w:r>
      <w:r w:rsidR="00754DDA">
        <w:t xml:space="preserve">how the PTO’s invalidation of a patent affects </w:t>
      </w:r>
      <w:r w:rsidR="001C4767">
        <w:t>concurrent</w:t>
      </w:r>
      <w:r w:rsidR="00754DDA">
        <w:t xml:space="preserve"> </w:t>
      </w:r>
      <w:r w:rsidR="009B339B">
        <w:t xml:space="preserve">infringement </w:t>
      </w:r>
      <w:r w:rsidR="00754DDA">
        <w:t>litigation</w:t>
      </w:r>
      <w:r w:rsidR="0085219E">
        <w:t xml:space="preserve">.  </w:t>
      </w:r>
      <w:r>
        <w:t>But i</w:t>
      </w:r>
      <w:r w:rsidR="00E676F4">
        <w:t>n the past two years,</w:t>
      </w:r>
      <w:r w:rsidR="00D56461">
        <w:t xml:space="preserve"> </w:t>
      </w:r>
      <w:r w:rsidR="00310786">
        <w:t xml:space="preserve">the U.S. Court of Appeals for the Federal Circuit, which has exclusive jurisdiction over patent </w:t>
      </w:r>
      <w:r w:rsidR="00AC0481">
        <w:t>appeals</w:t>
      </w:r>
      <w:r w:rsidR="00310786">
        <w:t>,</w:t>
      </w:r>
      <w:r w:rsidR="00310786">
        <w:rPr>
          <w:rStyle w:val="FootnoteReference"/>
        </w:rPr>
        <w:footnoteReference w:id="12"/>
      </w:r>
      <w:r w:rsidR="00310786">
        <w:t xml:space="preserve"> </w:t>
      </w:r>
      <w:r w:rsidR="00F05095">
        <w:t>has decided several cases</w:t>
      </w:r>
      <w:r w:rsidR="00BC33E5">
        <w:t xml:space="preserve"> </w:t>
      </w:r>
      <w:r w:rsidR="00D56461">
        <w:t>presenting</w:t>
      </w:r>
      <w:r w:rsidR="00BC33E5">
        <w:t xml:space="preserve"> th</w:t>
      </w:r>
      <w:r w:rsidR="00DC5AA1">
        <w:t>at</w:t>
      </w:r>
      <w:r w:rsidR="00BC33E5">
        <w:t xml:space="preserve"> issue</w:t>
      </w:r>
      <w:r w:rsidR="00C81CC6">
        <w:t xml:space="preserve">.  </w:t>
      </w:r>
      <w:r w:rsidR="004C25B8">
        <w:t xml:space="preserve">In two decisions, the </w:t>
      </w:r>
      <w:r w:rsidR="00310786">
        <w:t>Federal Circuit</w:t>
      </w:r>
      <w:r w:rsidR="004C25B8">
        <w:t xml:space="preserve"> nullified </w:t>
      </w:r>
      <w:r w:rsidR="00310786">
        <w:t xml:space="preserve">district </w:t>
      </w:r>
      <w:r w:rsidR="004C25B8">
        <w:t xml:space="preserve">court awards of </w:t>
      </w:r>
      <w:r w:rsidR="001A4DA0">
        <w:t xml:space="preserve">infringement </w:t>
      </w:r>
      <w:r w:rsidR="004C25B8">
        <w:t>damages to patent holders because the</w:t>
      </w:r>
      <w:r w:rsidR="00DD6C0C">
        <w:t xml:space="preserve"> PTO invalidated the</w:t>
      </w:r>
      <w:r w:rsidR="004C25B8">
        <w:t xml:space="preserve"> patent</w:t>
      </w:r>
      <w:r w:rsidR="00DD6C0C">
        <w:t xml:space="preserve"> before the court</w:t>
      </w:r>
      <w:r w:rsidR="00310786">
        <w:t xml:space="preserve"> proceedings concluded.</w:t>
      </w:r>
      <w:r w:rsidR="004C25B8">
        <w:rPr>
          <w:rStyle w:val="FootnoteReference"/>
        </w:rPr>
        <w:footnoteReference w:id="13"/>
      </w:r>
      <w:r w:rsidR="004C25B8">
        <w:t xml:space="preserve">  </w:t>
      </w:r>
      <w:r w:rsidR="00AE4B38">
        <w:t>Yet,</w:t>
      </w:r>
      <w:r w:rsidR="00C75064">
        <w:t xml:space="preserve"> i</w:t>
      </w:r>
      <w:r w:rsidR="00C81CC6">
        <w:t>n both cases</w:t>
      </w:r>
      <w:r w:rsidR="00E72770">
        <w:t>, the issue</w:t>
      </w:r>
      <w:r w:rsidR="002C6CDC">
        <w:t>s</w:t>
      </w:r>
      <w:r w:rsidR="00BA69BF">
        <w:t xml:space="preserve"> of patent validity</w:t>
      </w:r>
      <w:r w:rsidR="002C6CDC">
        <w:t xml:space="preserve"> and infringement</w:t>
      </w:r>
      <w:r w:rsidR="00AB17D6">
        <w:t xml:space="preserve"> </w:t>
      </w:r>
      <w:r w:rsidR="00BA69BF">
        <w:t xml:space="preserve">had been fully litigated in </w:t>
      </w:r>
      <w:r w:rsidR="00E72770">
        <w:t>court</w:t>
      </w:r>
      <w:r w:rsidR="008455DE">
        <w:t xml:space="preserve"> and definitively resolved in the patent holder’s favor</w:t>
      </w:r>
      <w:r w:rsidR="00D56461">
        <w:t>; a</w:t>
      </w:r>
      <w:r w:rsidR="00BA69BF">
        <w:t>t the time the PTO</w:t>
      </w:r>
      <w:r w:rsidR="00532AD5">
        <w:t xml:space="preserve"> </w:t>
      </w:r>
      <w:r w:rsidR="00DD6C0C">
        <w:t>invalidated</w:t>
      </w:r>
      <w:r w:rsidR="001C4767">
        <w:t xml:space="preserve"> the patent</w:t>
      </w:r>
      <w:r w:rsidR="008F54B5">
        <w:t>, t</w:t>
      </w:r>
      <w:r w:rsidR="00BA69BF">
        <w:t xml:space="preserve">he only issues that remained </w:t>
      </w:r>
      <w:r w:rsidR="00FA69C3">
        <w:t xml:space="preserve">in the court cases </w:t>
      </w:r>
      <w:r w:rsidR="008455DE">
        <w:t>related to</w:t>
      </w:r>
      <w:r w:rsidR="00F21056">
        <w:t xml:space="preserve"> the patent holder</w:t>
      </w:r>
      <w:r w:rsidR="00D56461">
        <w:t>s</w:t>
      </w:r>
      <w:r w:rsidR="00F21056">
        <w:t>’</w:t>
      </w:r>
      <w:r w:rsidR="00D56461">
        <w:t xml:space="preserve"> remedies</w:t>
      </w:r>
      <w:r w:rsidR="002C6CDC">
        <w:t>, such as determining the precise scope of an injunction</w:t>
      </w:r>
      <w:r w:rsidR="00D56461">
        <w:t>.</w:t>
      </w:r>
      <w:r w:rsidR="00BA69BF">
        <w:t xml:space="preserve">  </w:t>
      </w:r>
      <w:r w:rsidR="002C6CDC">
        <w:t>T</w:t>
      </w:r>
      <w:r w:rsidR="00BA69BF">
        <w:t>he Federal Circuit</w:t>
      </w:r>
      <w:r w:rsidR="008455DE">
        <w:t xml:space="preserve"> ruled, in essence, that court proceedings must be absolutely and irrevocably </w:t>
      </w:r>
      <w:r w:rsidR="00BA69BF">
        <w:t xml:space="preserve">“final” </w:t>
      </w:r>
      <w:r w:rsidR="008455DE">
        <w:t>for the court’s ruling</w:t>
      </w:r>
      <w:r w:rsidR="00436A5D">
        <w:t xml:space="preserve"> survive the PTO’s </w:t>
      </w:r>
      <w:r w:rsidR="008455DE">
        <w:t xml:space="preserve">subsequent </w:t>
      </w:r>
      <w:r w:rsidR="00436A5D">
        <w:t>invalidation of the asserted patent.</w:t>
      </w:r>
    </w:p>
    <w:p w14:paraId="2E29A0B3" w14:textId="783495E0" w:rsidR="00FD3DD2" w:rsidRDefault="004C3968" w:rsidP="00513C41">
      <w:pPr>
        <w:pStyle w:val="BodyText"/>
        <w:ind w:firstLine="360"/>
        <w:jc w:val="both"/>
      </w:pPr>
      <w:r>
        <w:t>On first glance, t</w:t>
      </w:r>
      <w:r w:rsidR="009B35FF">
        <w:t>his “absolute finality” rule</w:t>
      </w:r>
      <w:r w:rsidR="0007386F">
        <w:t xml:space="preserve"> </w:t>
      </w:r>
      <w:r w:rsidR="002C6CDC">
        <w:t>may seem</w:t>
      </w:r>
      <w:r w:rsidR="001A3DF3">
        <w:t xml:space="preserve"> problematic</w:t>
      </w:r>
      <w:r w:rsidR="0007386F">
        <w:t xml:space="preserve">. </w:t>
      </w:r>
      <w:r w:rsidR="00AB17D6">
        <w:t xml:space="preserve"> </w:t>
      </w:r>
      <w:r w:rsidR="00C05BF1">
        <w:t>As a doctrinal matter, i</w:t>
      </w:r>
      <w:r w:rsidR="009B35FF">
        <w:t>t</w:t>
      </w:r>
      <w:r w:rsidR="00A1004C">
        <w:t xml:space="preserve"> </w:t>
      </w:r>
      <w:r w:rsidR="00D56461">
        <w:t xml:space="preserve">is </w:t>
      </w:r>
      <w:r w:rsidR="00FC48E3">
        <w:t xml:space="preserve">inconsistent with the flexible and pragmatic </w:t>
      </w:r>
      <w:r w:rsidR="00F67DC3">
        <w:t xml:space="preserve">definition of “finality” found in the </w:t>
      </w:r>
      <w:r w:rsidR="00C05BF1">
        <w:t>law</w:t>
      </w:r>
      <w:r w:rsidR="00FC48E3">
        <w:t xml:space="preserve"> </w:t>
      </w:r>
      <w:r w:rsidR="007D3C91">
        <w:t>of issue preclusion</w:t>
      </w:r>
      <w:r w:rsidR="00813566">
        <w:t>, which generally considers a judgment on liability to b</w:t>
      </w:r>
      <w:r w:rsidR="00436A5D">
        <w:t>e entitled to preclusive effect</w:t>
      </w:r>
      <w:r w:rsidR="00813566">
        <w:t xml:space="preserve"> even if the court has not yet determined the remedy</w:t>
      </w:r>
      <w:r w:rsidR="009B1563">
        <w:t xml:space="preserve">. </w:t>
      </w:r>
      <w:r w:rsidR="00AC0481">
        <w:t xml:space="preserve"> </w:t>
      </w:r>
      <w:r w:rsidR="00C05BF1">
        <w:t xml:space="preserve">As a structural matter, </w:t>
      </w:r>
      <w:r w:rsidR="00813566">
        <w:t>the absolute finality rule</w:t>
      </w:r>
      <w:r w:rsidR="009B35FF">
        <w:t xml:space="preserve"> raises</w:t>
      </w:r>
      <w:r w:rsidR="00F0597E">
        <w:t xml:space="preserve"> separation of powers concerns because </w:t>
      </w:r>
      <w:r>
        <w:t xml:space="preserve">it </w:t>
      </w:r>
      <w:r w:rsidR="007D3C91">
        <w:t>appears to allow</w:t>
      </w:r>
      <w:r w:rsidR="00F0597E">
        <w:t xml:space="preserve"> </w:t>
      </w:r>
      <w:r w:rsidR="0016754D">
        <w:t xml:space="preserve">the PTO </w:t>
      </w:r>
      <w:r w:rsidR="00F0597E">
        <w:t>to</w:t>
      </w:r>
      <w:r w:rsidR="007D3C91">
        <w:t xml:space="preserve"> </w:t>
      </w:r>
      <w:r w:rsidR="00F0597E">
        <w:t xml:space="preserve">override </w:t>
      </w:r>
      <w:r w:rsidR="00F0597E">
        <w:lastRenderedPageBreak/>
        <w:t xml:space="preserve">decisions of Article III courts. </w:t>
      </w:r>
      <w:r w:rsidR="00AC0481">
        <w:t xml:space="preserve"> </w:t>
      </w:r>
      <w:r w:rsidR="00C05BF1">
        <w:t>As a practical matter, i</w:t>
      </w:r>
      <w:r w:rsidR="009B35FF">
        <w:t>t deters</w:t>
      </w:r>
      <w:r w:rsidR="009B1563">
        <w:t xml:space="preserve"> settlement and encourage</w:t>
      </w:r>
      <w:r w:rsidR="009B35FF">
        <w:t>s</w:t>
      </w:r>
      <w:r w:rsidR="009B1563">
        <w:t xml:space="preserve"> losing parties to prolong litigation</w:t>
      </w:r>
      <w:r w:rsidR="00F05095">
        <w:t xml:space="preserve"> </w:t>
      </w:r>
      <w:r w:rsidR="009B35FF">
        <w:t>while seeking</w:t>
      </w:r>
      <w:r w:rsidR="00F05095">
        <w:t xml:space="preserve"> a favorable decision from the PTO</w:t>
      </w:r>
      <w:r w:rsidR="009B1563">
        <w:t xml:space="preserve">. </w:t>
      </w:r>
      <w:r w:rsidR="00AC0481">
        <w:t xml:space="preserve"> </w:t>
      </w:r>
      <w:r>
        <w:t>And</w:t>
      </w:r>
      <w:r w:rsidR="00436A5D">
        <w:t>,</w:t>
      </w:r>
      <w:r>
        <w:t xml:space="preserve"> p</w:t>
      </w:r>
      <w:r w:rsidR="00723CCA">
        <w:t>erhaps most simply,</w:t>
      </w:r>
      <w:r w:rsidR="00310786">
        <w:t xml:space="preserve"> it </w:t>
      </w:r>
      <w:r>
        <w:t xml:space="preserve">seems </w:t>
      </w:r>
      <w:r w:rsidR="00F25A98">
        <w:t>unfair and inefficient</w:t>
      </w:r>
      <w:r w:rsidR="00A1004C">
        <w:t xml:space="preserve"> to allow </w:t>
      </w:r>
      <w:r w:rsidR="009B35FF">
        <w:t>accused</w:t>
      </w:r>
      <w:r w:rsidR="00A1004C">
        <w:t xml:space="preserve"> infringers multiple opportunities to defeat liability.</w:t>
      </w:r>
    </w:p>
    <w:p w14:paraId="22AA1DBB" w14:textId="2DB8EF99" w:rsidR="00FC48C2" w:rsidRDefault="00436A5D" w:rsidP="00FD3DD2">
      <w:pPr>
        <w:pStyle w:val="BodyText"/>
        <w:ind w:firstLine="360"/>
        <w:jc w:val="both"/>
      </w:pPr>
      <w:r>
        <w:t xml:space="preserve">Yet the absolute finality rule has some redeeming qualities.  For example, </w:t>
      </w:r>
      <w:r w:rsidR="00C85E5C">
        <w:t>by giving precedence to the PTO’s decision, the rule permits a supposedly expert agency</w:t>
      </w:r>
      <w:r>
        <w:t>, rather than a court,</w:t>
      </w:r>
      <w:r w:rsidR="00C85E5C">
        <w:t xml:space="preserve"> to make the final decision on patent validity.  Moreover, the rule</w:t>
      </w:r>
      <w:r w:rsidR="00AC0481">
        <w:t xml:space="preserve"> </w:t>
      </w:r>
      <w:r w:rsidR="005F79CC">
        <w:t>protect</w:t>
      </w:r>
      <w:r w:rsidR="00AC0481">
        <w:t>s</w:t>
      </w:r>
      <w:r w:rsidR="005F79CC">
        <w:t xml:space="preserve"> </w:t>
      </w:r>
      <w:r w:rsidR="009B35FF">
        <w:t>accused infringer</w:t>
      </w:r>
      <w:r w:rsidR="005F79CC">
        <w:t>s</w:t>
      </w:r>
      <w:r w:rsidR="009B35FF">
        <w:t xml:space="preserve"> </w:t>
      </w:r>
      <w:r w:rsidR="005F79CC">
        <w:t>from paying</w:t>
      </w:r>
      <w:r w:rsidR="009B35FF">
        <w:t xml:space="preserve"> damages for infringing a patent the PTO </w:t>
      </w:r>
      <w:r w:rsidR="005F2E43">
        <w:t xml:space="preserve">has </w:t>
      </w:r>
      <w:r w:rsidR="00644976">
        <w:t>determined it never should have issued</w:t>
      </w:r>
      <w:r w:rsidR="009B35FF">
        <w:t xml:space="preserve">.  </w:t>
      </w:r>
      <w:r w:rsidR="00FC48E3">
        <w:t xml:space="preserve">The Federal Circuit, however, undermined </w:t>
      </w:r>
      <w:r w:rsidR="00C85E5C">
        <w:t>those</w:t>
      </w:r>
      <w:r w:rsidR="00FC48E3">
        <w:t xml:space="preserve"> </w:t>
      </w:r>
      <w:r w:rsidR="00C85E5C">
        <w:t>potential benefits</w:t>
      </w:r>
      <w:r w:rsidR="00FC48E3">
        <w:t xml:space="preserve"> of the absolute finality rule i</w:t>
      </w:r>
      <w:r w:rsidR="00CA2582">
        <w:t xml:space="preserve">n </w:t>
      </w:r>
      <w:r w:rsidR="00CE3968">
        <w:t>another recent decision</w:t>
      </w:r>
      <w:r w:rsidR="00FC48E3">
        <w:t xml:space="preserve">.  In that case, </w:t>
      </w:r>
      <w:r w:rsidR="00D22DC3">
        <w:t xml:space="preserve">the Federal Circuit </w:t>
      </w:r>
      <w:r w:rsidR="00CE3968" w:rsidRPr="00056B5B">
        <w:rPr>
          <w:i/>
        </w:rPr>
        <w:t>upheld</w:t>
      </w:r>
      <w:r w:rsidR="00D22DC3">
        <w:t xml:space="preserve"> a </w:t>
      </w:r>
      <w:r w:rsidR="00532AD5">
        <w:t>damage award of nearly</w:t>
      </w:r>
      <w:r w:rsidR="00CE3968">
        <w:t xml:space="preserve"> </w:t>
      </w:r>
      <w:r w:rsidR="00D22DC3">
        <w:t>$</w:t>
      </w:r>
      <w:r w:rsidR="00CE3968">
        <w:t>400</w:t>
      </w:r>
      <w:r w:rsidR="00D22DC3">
        <w:t xml:space="preserve"> million even though the </w:t>
      </w:r>
      <w:r w:rsidR="00F05095">
        <w:t xml:space="preserve">PTO had ruled </w:t>
      </w:r>
      <w:r w:rsidR="001A3DF3">
        <w:t xml:space="preserve">that </w:t>
      </w:r>
      <w:r w:rsidR="00F05095">
        <w:t xml:space="preserve">the infringed patent </w:t>
      </w:r>
      <w:r w:rsidR="001A3DF3">
        <w:t>was</w:t>
      </w:r>
      <w:r w:rsidR="00F05095">
        <w:t xml:space="preserve"> invalid</w:t>
      </w:r>
      <w:r w:rsidR="00D22DC3">
        <w:t>.</w:t>
      </w:r>
      <w:r w:rsidR="00D22DC3">
        <w:rPr>
          <w:rStyle w:val="FootnoteReference"/>
        </w:rPr>
        <w:footnoteReference w:id="14"/>
      </w:r>
      <w:r w:rsidR="005F79CC">
        <w:t xml:space="preserve">  T</w:t>
      </w:r>
      <w:r w:rsidR="008F54B5">
        <w:t xml:space="preserve">he court did not offer </w:t>
      </w:r>
      <w:r w:rsidR="00CA2582">
        <w:t>any</w:t>
      </w:r>
      <w:r w:rsidR="008F54B5">
        <w:t xml:space="preserve"> reasoning in its opinion, </w:t>
      </w:r>
      <w:r w:rsidR="005F79CC">
        <w:t xml:space="preserve">but </w:t>
      </w:r>
      <w:r w:rsidR="008F54B5">
        <w:t>the rationale seems to be that the court decision took precedence because</w:t>
      </w:r>
      <w:r w:rsidR="00CA2582">
        <w:t xml:space="preserve"> </w:t>
      </w:r>
      <w:r w:rsidR="008F54B5">
        <w:t xml:space="preserve">the Federal Circuit had not yet reviewed </w:t>
      </w:r>
      <w:r w:rsidR="00B02793">
        <w:t>the</w:t>
      </w:r>
      <w:r w:rsidR="008F54B5">
        <w:t xml:space="preserve"> PTO</w:t>
      </w:r>
      <w:r w:rsidR="001A3DF3">
        <w:t>’s invalidity</w:t>
      </w:r>
      <w:r w:rsidR="008F54B5">
        <w:t xml:space="preserve"> </w:t>
      </w:r>
      <w:r w:rsidR="007D3C91">
        <w:t>ruling</w:t>
      </w:r>
      <w:r w:rsidR="008F54B5">
        <w:t xml:space="preserve">, so the </w:t>
      </w:r>
      <w:r w:rsidR="008F54B5" w:rsidRPr="00AC0481">
        <w:t xml:space="preserve">PTO proceedings </w:t>
      </w:r>
      <w:r w:rsidR="008F54B5">
        <w:t>were not</w:t>
      </w:r>
      <w:r w:rsidR="00AE776E">
        <w:t xml:space="preserve"> </w:t>
      </w:r>
      <w:r w:rsidR="00532AD5">
        <w:t xml:space="preserve">sufficiently </w:t>
      </w:r>
      <w:r w:rsidR="008F54B5">
        <w:t>final</w:t>
      </w:r>
      <w:r w:rsidR="00532AD5">
        <w:t xml:space="preserve"> to </w:t>
      </w:r>
      <w:r w:rsidR="00AC0481">
        <w:t>trump the court’s damage award</w:t>
      </w:r>
      <w:r w:rsidR="008F54B5">
        <w:t>.</w:t>
      </w:r>
      <w:r w:rsidR="00FC48C2">
        <w:t xml:space="preserve">  </w:t>
      </w:r>
    </w:p>
    <w:p w14:paraId="19D305FE" w14:textId="3CD6E841" w:rsidR="00AE0418" w:rsidRPr="00A46168" w:rsidRDefault="00723CCA" w:rsidP="006B573C">
      <w:pPr>
        <w:tabs>
          <w:tab w:val="left" w:pos="360"/>
        </w:tabs>
        <w:jc w:val="both"/>
      </w:pPr>
      <w:r>
        <w:t>To be sure, i</w:t>
      </w:r>
      <w:r w:rsidR="008614BC">
        <w:t>t is no</w:t>
      </w:r>
      <w:r w:rsidR="00CE3968">
        <w:t>t an</w:t>
      </w:r>
      <w:r w:rsidR="008614BC">
        <w:t xml:space="preserve"> easy task for the Federal Circuit to balance the authority of two different government bodies that possess </w:t>
      </w:r>
      <w:r w:rsidR="00CE3968">
        <w:t>independent</w:t>
      </w:r>
      <w:r w:rsidR="008614BC">
        <w:t xml:space="preserve"> power to invalidate the same patent.  </w:t>
      </w:r>
      <w:r w:rsidR="00A46168">
        <w:t xml:space="preserve">Yet the Federal Circuit has </w:t>
      </w:r>
      <w:r w:rsidR="00C16451">
        <w:t xml:space="preserve">not even </w:t>
      </w:r>
      <w:r w:rsidR="00DD6C0C">
        <w:t>acknowledged</w:t>
      </w:r>
      <w:r w:rsidR="00C16451">
        <w:t xml:space="preserve"> </w:t>
      </w:r>
      <w:r w:rsidR="00AC0481">
        <w:t xml:space="preserve">the </w:t>
      </w:r>
      <w:r w:rsidR="00F05095">
        <w:t xml:space="preserve">numerous </w:t>
      </w:r>
      <w:r w:rsidR="00A46168">
        <w:t>difficult ques</w:t>
      </w:r>
      <w:r w:rsidR="00F05095">
        <w:t xml:space="preserve">tions </w:t>
      </w:r>
      <w:r w:rsidR="00BC33E5">
        <w:t xml:space="preserve">raised by </w:t>
      </w:r>
      <w:r w:rsidR="0085219E">
        <w:t>inconsistent</w:t>
      </w:r>
      <w:r w:rsidR="0034631F">
        <w:t xml:space="preserve"> court and PTO decisions in concurrent proceedings</w:t>
      </w:r>
      <w:r w:rsidR="00AC0481">
        <w:t xml:space="preserve">, instead claiming </w:t>
      </w:r>
      <w:r w:rsidR="00F05095">
        <w:t xml:space="preserve">that </w:t>
      </w:r>
      <w:r w:rsidR="00B02793">
        <w:t>binding precedent mandates the absolute finality rule</w:t>
      </w:r>
      <w:r w:rsidR="00BC33E5">
        <w:t>.  The</w:t>
      </w:r>
      <w:r w:rsidR="00F05095">
        <w:t xml:space="preserve"> cases on which the </w:t>
      </w:r>
      <w:r w:rsidR="00AC0481">
        <w:t>Federal Circuit</w:t>
      </w:r>
      <w:r w:rsidR="00F05095">
        <w:t xml:space="preserve"> has relied, however, do not </w:t>
      </w:r>
      <w:r w:rsidR="00AE776E">
        <w:t xml:space="preserve">squarely address </w:t>
      </w:r>
      <w:r w:rsidR="0034631F">
        <w:t>the matter at hand</w:t>
      </w:r>
      <w:r w:rsidR="00F05095">
        <w:t>.</w:t>
      </w:r>
      <w:r w:rsidR="005F79CC">
        <w:rPr>
          <w:rStyle w:val="FootnoteReference"/>
        </w:rPr>
        <w:footnoteReference w:id="15"/>
      </w:r>
      <w:r w:rsidR="00F05095">
        <w:t xml:space="preserve">  </w:t>
      </w:r>
      <w:r w:rsidR="00BC33E5">
        <w:t xml:space="preserve">For </w:t>
      </w:r>
      <w:r w:rsidR="00AE776E">
        <w:t>example</w:t>
      </w:r>
      <w:r w:rsidR="00BC33E5">
        <w:t xml:space="preserve">, the Federal Circuit has </w:t>
      </w:r>
      <w:r w:rsidR="005F79CC">
        <w:t>analogized to</w:t>
      </w:r>
      <w:r w:rsidR="00BC33E5">
        <w:t xml:space="preserve"> cases holding</w:t>
      </w:r>
      <w:r w:rsidR="006B573C">
        <w:t xml:space="preserve"> that</w:t>
      </w:r>
      <w:r w:rsidR="005F79CC">
        <w:t xml:space="preserve"> </w:t>
      </w:r>
      <w:r w:rsidR="00F46310">
        <w:t xml:space="preserve">one court’s decision of patent invalidity </w:t>
      </w:r>
      <w:r w:rsidR="00AC0481">
        <w:t>requires dismissal of</w:t>
      </w:r>
      <w:r w:rsidR="00B924EA">
        <w:t xml:space="preserve"> a claim </w:t>
      </w:r>
      <w:r w:rsidR="00F46310">
        <w:t xml:space="preserve">for infringement of </w:t>
      </w:r>
      <w:r w:rsidR="00BC33E5">
        <w:t>the</w:t>
      </w:r>
      <w:r w:rsidR="00F46310">
        <w:t xml:space="preserve"> same patent </w:t>
      </w:r>
      <w:r w:rsidR="00B924EA">
        <w:t xml:space="preserve">that is pending </w:t>
      </w:r>
      <w:r w:rsidR="00F46310" w:rsidRPr="00B924EA">
        <w:t>in another court</w:t>
      </w:r>
      <w:r w:rsidR="006B573C">
        <w:t>.</w:t>
      </w:r>
      <w:r w:rsidR="00F46310">
        <w:rPr>
          <w:rStyle w:val="FootnoteReference"/>
        </w:rPr>
        <w:footnoteReference w:id="16"/>
      </w:r>
      <w:r w:rsidR="00B924EA">
        <w:t xml:space="preserve">  But those cases</w:t>
      </w:r>
      <w:r w:rsidR="005F79CC">
        <w:t xml:space="preserve"> involve the doctrine of issue preclusion</w:t>
      </w:r>
      <w:r w:rsidR="00AC0481">
        <w:t xml:space="preserve"> as between two courts</w:t>
      </w:r>
      <w:r>
        <w:t xml:space="preserve">; they </w:t>
      </w:r>
      <w:r w:rsidR="00B924EA">
        <w:t xml:space="preserve">do not answer the question of how a </w:t>
      </w:r>
      <w:r w:rsidR="00B924EA">
        <w:rPr>
          <w:i/>
        </w:rPr>
        <w:t>PTO</w:t>
      </w:r>
      <w:r w:rsidR="00B924EA">
        <w:t xml:space="preserve"> </w:t>
      </w:r>
      <w:r w:rsidR="00B924EA" w:rsidRPr="00B02793">
        <w:t>decision</w:t>
      </w:r>
      <w:r w:rsidR="00B924EA">
        <w:t xml:space="preserve"> of invalidity affects </w:t>
      </w:r>
      <w:r w:rsidR="00AE776E">
        <w:t>court proceedings</w:t>
      </w:r>
      <w:r w:rsidR="00B924EA">
        <w:t xml:space="preserve">.  </w:t>
      </w:r>
      <w:r w:rsidR="00F25A98">
        <w:t>In fact</w:t>
      </w:r>
      <w:r w:rsidR="00B924EA">
        <w:t xml:space="preserve">, </w:t>
      </w:r>
      <w:r w:rsidR="006B573C">
        <w:t xml:space="preserve">a key element of issue preclusion is </w:t>
      </w:r>
      <w:r w:rsidR="005F79CC">
        <w:t>not satisfied</w:t>
      </w:r>
      <w:r w:rsidR="006B573C">
        <w:t xml:space="preserve"> </w:t>
      </w:r>
      <w:r w:rsidR="007A2099">
        <w:t xml:space="preserve">in parallel </w:t>
      </w:r>
      <w:r w:rsidR="00E676F4">
        <w:t>court and PTO proceedings</w:t>
      </w:r>
      <w:r w:rsidR="007A2099">
        <w:t xml:space="preserve"> </w:t>
      </w:r>
      <w:r w:rsidR="006B573C">
        <w:t xml:space="preserve">because the </w:t>
      </w:r>
      <w:r w:rsidR="007A2099">
        <w:t>two bodies</w:t>
      </w:r>
      <w:r w:rsidR="006B573C">
        <w:t xml:space="preserve"> </w:t>
      </w:r>
      <w:r w:rsidR="00C61F0F">
        <w:t xml:space="preserve">use different legal standards </w:t>
      </w:r>
      <w:r w:rsidR="006B573C">
        <w:t>to determine patent validity.</w:t>
      </w:r>
      <w:r w:rsidR="005F79CC">
        <w:t xml:space="preserve"> </w:t>
      </w:r>
      <w:r w:rsidR="00B02793">
        <w:t xml:space="preserve"> </w:t>
      </w:r>
      <w:r w:rsidR="00423FBC">
        <w:t>Most significantly</w:t>
      </w:r>
      <w:r w:rsidR="005F79CC">
        <w:t>, in court, the accused infringer bears the burden of proving invalidity by clear and convincing evidence,</w:t>
      </w:r>
      <w:r w:rsidR="005F79CC">
        <w:rPr>
          <w:rStyle w:val="FootnoteReference"/>
        </w:rPr>
        <w:footnoteReference w:id="17"/>
      </w:r>
      <w:r w:rsidR="005F79CC">
        <w:t xml:space="preserve"> but at the PTO the standard of proof is </w:t>
      </w:r>
      <w:r w:rsidR="00C75064">
        <w:t xml:space="preserve">merely </w:t>
      </w:r>
      <w:r w:rsidR="005F79CC">
        <w:t>a preponderance of the evidence.</w:t>
      </w:r>
      <w:r w:rsidR="005F79CC">
        <w:rPr>
          <w:rStyle w:val="FootnoteReference"/>
        </w:rPr>
        <w:footnoteReference w:id="18"/>
      </w:r>
      <w:r w:rsidR="005F79CC">
        <w:t xml:space="preserve">  </w:t>
      </w:r>
    </w:p>
    <w:p w14:paraId="13DD208D" w14:textId="717630D4" w:rsidR="005F434B" w:rsidRDefault="006B573C" w:rsidP="00C81CC6">
      <w:pPr>
        <w:pStyle w:val="BodyText"/>
        <w:ind w:firstLine="360"/>
        <w:jc w:val="both"/>
      </w:pPr>
      <w:r>
        <w:lastRenderedPageBreak/>
        <w:t>This article critiques the Federal Circuit’s absolute finality rule from</w:t>
      </w:r>
      <w:r w:rsidR="00DE5712">
        <w:t xml:space="preserve"> a doctrinal perspective and</w:t>
      </w:r>
      <w:r w:rsidR="005F56D2">
        <w:t xml:space="preserve"> </w:t>
      </w:r>
      <w:r>
        <w:t xml:space="preserve">engages the </w:t>
      </w:r>
      <w:r w:rsidR="00AC5644">
        <w:t xml:space="preserve">normative </w:t>
      </w:r>
      <w:r>
        <w:t xml:space="preserve">questions </w:t>
      </w:r>
      <w:r w:rsidR="005F56D2">
        <w:t xml:space="preserve">the Federal Circuit has </w:t>
      </w:r>
      <w:r w:rsidR="001C4767">
        <w:t>ignored</w:t>
      </w:r>
      <w:r w:rsidR="00DE5712">
        <w:t>.  In so doing, the article c</w:t>
      </w:r>
      <w:r>
        <w:t>ontributes</w:t>
      </w:r>
      <w:r w:rsidR="009649F2">
        <w:t xml:space="preserve"> to a nascent literature exploring the interplay between district court litigation and the increasingly popular post-issuance review mechanisms at the PTO.</w:t>
      </w:r>
      <w:bookmarkStart w:id="7" w:name="_Ref300405081"/>
      <w:r w:rsidR="009649F2">
        <w:rPr>
          <w:rStyle w:val="FootnoteReference"/>
        </w:rPr>
        <w:footnoteReference w:id="19"/>
      </w:r>
      <w:bookmarkEnd w:id="7"/>
      <w:r>
        <w:t xml:space="preserve">  Doctrinally, the Federal Circuit should resolve conflicts</w:t>
      </w:r>
      <w:r w:rsidR="00190EE4">
        <w:t xml:space="preserve"> between the courts and the PTO</w:t>
      </w:r>
      <w:r>
        <w:t xml:space="preserve"> by looking to </w:t>
      </w:r>
      <w:r w:rsidR="001A3DF3" w:rsidRPr="007D3C91">
        <w:t>law</w:t>
      </w:r>
      <w:r w:rsidR="007D3C91">
        <w:t>-</w:t>
      </w:r>
      <w:r w:rsidR="001A3DF3" w:rsidRPr="007D3C91">
        <w:t>of</w:t>
      </w:r>
      <w:r w:rsidR="007D3C91">
        <w:t>-</w:t>
      </w:r>
      <w:r w:rsidR="00A87001" w:rsidRPr="007D3C91">
        <w:t>the</w:t>
      </w:r>
      <w:r w:rsidR="007D3C91">
        <w:t>-</w:t>
      </w:r>
      <w:r w:rsidR="00410B29" w:rsidRPr="007D3C91">
        <w:t>case</w:t>
      </w:r>
      <w:r w:rsidR="00190EE4">
        <w:t xml:space="preserve"> </w:t>
      </w:r>
      <w:r w:rsidR="00FC48E3">
        <w:t>principles</w:t>
      </w:r>
      <w:r w:rsidR="00190EE4">
        <w:t xml:space="preserve">.  Unlike the </w:t>
      </w:r>
      <w:r w:rsidR="005F2E43">
        <w:t>precedent</w:t>
      </w:r>
      <w:r w:rsidR="00190EE4">
        <w:t xml:space="preserve"> </w:t>
      </w:r>
      <w:r w:rsidR="0034631F">
        <w:t xml:space="preserve">on which the court has </w:t>
      </w:r>
      <w:r w:rsidR="00F25A98">
        <w:t>relied</w:t>
      </w:r>
      <w:r w:rsidR="001C4767">
        <w:t xml:space="preserve">, </w:t>
      </w:r>
      <w:r w:rsidR="007D3C91">
        <w:t>law of the case</w:t>
      </w:r>
      <w:r w:rsidR="00DE5712">
        <w:t xml:space="preserve"> </w:t>
      </w:r>
      <w:r w:rsidR="00410B29">
        <w:t>addresses the precise question</w:t>
      </w:r>
      <w:r w:rsidR="00F25A98">
        <w:t xml:space="preserve"> </w:t>
      </w:r>
      <w:r w:rsidR="001C4767">
        <w:t xml:space="preserve">of </w:t>
      </w:r>
      <w:r w:rsidR="00AE776E">
        <w:t xml:space="preserve">whether </w:t>
      </w:r>
      <w:r w:rsidR="00284748">
        <w:t xml:space="preserve">an intervening event, such as the PTO’s </w:t>
      </w:r>
      <w:r w:rsidR="00AC0481">
        <w:t>invalidation</w:t>
      </w:r>
      <w:r w:rsidR="00284748">
        <w:t xml:space="preserve"> of a patent, warrant</w:t>
      </w:r>
      <w:r w:rsidR="00AE776E">
        <w:t>s</w:t>
      </w:r>
      <w:r w:rsidR="00284748">
        <w:t xml:space="preserve"> altering a prior court ruling </w:t>
      </w:r>
      <w:r w:rsidR="00284748" w:rsidRPr="00FD3DD2">
        <w:t>in the same case</w:t>
      </w:r>
      <w:r w:rsidR="00AE776E">
        <w:t>.</w:t>
      </w:r>
      <w:r w:rsidR="00927FA5">
        <w:rPr>
          <w:rStyle w:val="FootnoteReference"/>
        </w:rPr>
        <w:footnoteReference w:id="20"/>
      </w:r>
      <w:r w:rsidR="00392DDF">
        <w:t xml:space="preserve">  </w:t>
      </w:r>
      <w:r w:rsidR="007D3C91">
        <w:t>Law of the case mandates</w:t>
      </w:r>
      <w:r w:rsidR="00392DDF">
        <w:t xml:space="preserve"> that a decision on a particular issue </w:t>
      </w:r>
      <w:r w:rsidR="007D3C91">
        <w:t xml:space="preserve">must </w:t>
      </w:r>
      <w:r w:rsidR="00392DDF">
        <w:t xml:space="preserve">be followed in all subsequent proceedings </w:t>
      </w:r>
      <w:r w:rsidR="00A65729">
        <w:t xml:space="preserve">in the same case </w:t>
      </w:r>
      <w:r w:rsidR="00392DDF">
        <w:t xml:space="preserve">unless, among other things, the decision </w:t>
      </w:r>
      <w:r w:rsidR="00801A8E">
        <w:t xml:space="preserve">was clearly erroneous and </w:t>
      </w:r>
      <w:r w:rsidR="00DE5712">
        <w:t xml:space="preserve">continued adherence would be </w:t>
      </w:r>
      <w:r w:rsidR="00392DDF">
        <w:t>a manifest injustice.</w:t>
      </w:r>
      <w:bookmarkStart w:id="8" w:name="_Ref300404758"/>
      <w:r w:rsidR="00392DDF">
        <w:rPr>
          <w:rStyle w:val="FootnoteReference"/>
        </w:rPr>
        <w:footnoteReference w:id="21"/>
      </w:r>
      <w:bookmarkEnd w:id="8"/>
      <w:r w:rsidR="00392DDF">
        <w:t xml:space="preserve">  </w:t>
      </w:r>
      <w:r w:rsidR="00930A87">
        <w:t>If the Federal Circuit view</w:t>
      </w:r>
      <w:r w:rsidR="00DD6C0C">
        <w:t>ed</w:t>
      </w:r>
      <w:r w:rsidR="00930A87">
        <w:t xml:space="preserve"> conflicts</w:t>
      </w:r>
      <w:r w:rsidR="00A1477B">
        <w:t xml:space="preserve"> between the courts and the PTO</w:t>
      </w:r>
      <w:r w:rsidR="00930A87">
        <w:t xml:space="preserve"> under </w:t>
      </w:r>
      <w:r w:rsidR="00AE776E">
        <w:t>this</w:t>
      </w:r>
      <w:r w:rsidR="00930A87">
        <w:t xml:space="preserve"> flexible standard,</w:t>
      </w:r>
      <w:r w:rsidR="00AE776E">
        <w:t xml:space="preserve"> instead of the rigid absolute finality rule,</w:t>
      </w:r>
      <w:r w:rsidR="00930A87">
        <w:t xml:space="preserve"> </w:t>
      </w:r>
      <w:r w:rsidR="00AE776E">
        <w:t xml:space="preserve">the court would be forced to engage </w:t>
      </w:r>
      <w:r w:rsidR="00C05BF1">
        <w:t xml:space="preserve">the </w:t>
      </w:r>
      <w:r w:rsidR="00543198">
        <w:t xml:space="preserve">underlying </w:t>
      </w:r>
      <w:r w:rsidR="00AE776E">
        <w:t xml:space="preserve">concerns about </w:t>
      </w:r>
      <w:r w:rsidR="00AC0481">
        <w:t>judicial economy</w:t>
      </w:r>
      <w:r w:rsidR="00543198">
        <w:t>, fairness</w:t>
      </w:r>
      <w:r w:rsidR="005F434B">
        <w:t>, and constitutional structure</w:t>
      </w:r>
      <w:r w:rsidR="00F25A98">
        <w:t xml:space="preserve"> it has thus far avoided</w:t>
      </w:r>
      <w:r w:rsidR="005F434B">
        <w:t>.</w:t>
      </w:r>
    </w:p>
    <w:p w14:paraId="2BC743B6" w14:textId="1DB666A6" w:rsidR="00F21056" w:rsidRDefault="001C4767" w:rsidP="005F434B">
      <w:pPr>
        <w:pStyle w:val="BodyText"/>
        <w:ind w:firstLine="360"/>
        <w:jc w:val="both"/>
      </w:pPr>
      <w:r>
        <w:t>An analysis of t</w:t>
      </w:r>
      <w:r w:rsidR="00AC5644">
        <w:t>ho</w:t>
      </w:r>
      <w:r w:rsidR="00AE776E">
        <w:t>se concerns cut</w:t>
      </w:r>
      <w:r w:rsidR="00190EE4">
        <w:t>s</w:t>
      </w:r>
      <w:r w:rsidR="00AE776E">
        <w:t xml:space="preserve"> both ways.  On one hand, it seems unfair and inefficient to</w:t>
      </w:r>
      <w:r w:rsidR="00190EE4">
        <w:t xml:space="preserve"> give someone who </w:t>
      </w:r>
      <w:r w:rsidR="00A1477B">
        <w:t xml:space="preserve">a </w:t>
      </w:r>
      <w:r w:rsidR="00190EE4">
        <w:t xml:space="preserve">court has held to infringe a patent </w:t>
      </w:r>
      <w:r w:rsidR="005F2E43">
        <w:t>a second</w:t>
      </w:r>
      <w:r w:rsidR="00190EE4">
        <w:t xml:space="preserve"> chance </w:t>
      </w:r>
      <w:r w:rsidR="00A87001">
        <w:t>to avoid</w:t>
      </w:r>
      <w:r w:rsidR="00F25A98">
        <w:t xml:space="preserve"> liability</w:t>
      </w:r>
      <w:r w:rsidR="00AC0481">
        <w:t>, as is possible under the absolute finality rule</w:t>
      </w:r>
      <w:r w:rsidR="00AE776E">
        <w:t>.</w:t>
      </w:r>
      <w:r w:rsidR="00667B2D">
        <w:t xml:space="preserve"> </w:t>
      </w:r>
      <w:r w:rsidR="00F21056">
        <w:t xml:space="preserve"> </w:t>
      </w:r>
      <w:r w:rsidR="00667B2D">
        <w:t xml:space="preserve">Moreover, the absolute finality rule is in clear tension with Supreme Court case law on separation of powers, which forbids administrative agencies from </w:t>
      </w:r>
      <w:r w:rsidR="00A10EE8">
        <w:t>altering</w:t>
      </w:r>
      <w:r w:rsidR="00667B2D">
        <w:t xml:space="preserve"> definitive court decisions.</w:t>
      </w:r>
      <w:r w:rsidR="00667B2D">
        <w:rPr>
          <w:rStyle w:val="FootnoteReference"/>
        </w:rPr>
        <w:footnoteReference w:id="22"/>
      </w:r>
      <w:r w:rsidR="00667B2D">
        <w:t xml:space="preserve">  </w:t>
      </w:r>
      <w:r w:rsidR="00AE776E">
        <w:t xml:space="preserve">On the other hand, it seems wrong to allow a patent holder to collect damages for </w:t>
      </w:r>
      <w:r w:rsidR="001F3BB7">
        <w:t xml:space="preserve">the </w:t>
      </w:r>
      <w:r w:rsidR="00AE776E">
        <w:t>infringement of a now-invalidated patent.</w:t>
      </w:r>
      <w:r w:rsidR="006F797D" w:rsidRPr="006F797D">
        <w:t xml:space="preserve"> </w:t>
      </w:r>
      <w:r w:rsidR="006F797D">
        <w:t xml:space="preserve"> </w:t>
      </w:r>
      <w:r w:rsidR="00CB45CC">
        <w:t>Indeed,</w:t>
      </w:r>
      <w:r w:rsidR="006F797D">
        <w:t xml:space="preserve"> those who think </w:t>
      </w:r>
      <w:r w:rsidR="00CB45CC">
        <w:t>that the PTO does a poor job examining patents</w:t>
      </w:r>
      <w:r w:rsidR="00CB45CC">
        <w:rPr>
          <w:rStyle w:val="FootnoteReference"/>
        </w:rPr>
        <w:footnoteReference w:id="23"/>
      </w:r>
      <w:r w:rsidR="00CB45CC">
        <w:t xml:space="preserve"> </w:t>
      </w:r>
      <w:r w:rsidR="006F797D">
        <w:t>might have no problem with allowing patent challengers two chances to invalidate a single patent.</w:t>
      </w:r>
      <w:r w:rsidR="00667B2D">
        <w:t xml:space="preserve">  </w:t>
      </w:r>
    </w:p>
    <w:p w14:paraId="5782A24C" w14:textId="7A654CD9" w:rsidR="005F434B" w:rsidRDefault="00AE776E" w:rsidP="005F434B">
      <w:pPr>
        <w:pStyle w:val="BodyText"/>
        <w:ind w:firstLine="360"/>
        <w:jc w:val="both"/>
      </w:pPr>
      <w:r>
        <w:t xml:space="preserve">Even under </w:t>
      </w:r>
      <w:r w:rsidR="00644976">
        <w:t>a</w:t>
      </w:r>
      <w:r w:rsidR="00AC0481">
        <w:t xml:space="preserve"> flexible, policy-sensitive</w:t>
      </w:r>
      <w:r w:rsidR="00644976">
        <w:t xml:space="preserve"> law of the case</w:t>
      </w:r>
      <w:r w:rsidR="00AC0481">
        <w:t xml:space="preserve"> analysis</w:t>
      </w:r>
      <w:r>
        <w:t>, then, there may be no perfect</w:t>
      </w:r>
      <w:r w:rsidR="001F5A72">
        <w:t xml:space="preserve"> solution to </w:t>
      </w:r>
      <w:r w:rsidR="00F21056">
        <w:t>the</w:t>
      </w:r>
      <w:r w:rsidR="001F5A72">
        <w:t xml:space="preserve"> </w:t>
      </w:r>
      <w:r w:rsidR="00DE5712">
        <w:t>problem</w:t>
      </w:r>
      <w:r w:rsidR="00F21056">
        <w:t xml:space="preserve"> of inconsistent court and PTO rulings </w:t>
      </w:r>
      <w:r w:rsidR="00F21056">
        <w:lastRenderedPageBreak/>
        <w:t>on patent validity</w:t>
      </w:r>
      <w:r w:rsidR="001F5A72">
        <w:t>.</w:t>
      </w:r>
      <w:r w:rsidR="001F5A72">
        <w:rPr>
          <w:rStyle w:val="FootnoteReference"/>
        </w:rPr>
        <w:footnoteReference w:id="24"/>
      </w:r>
      <w:r w:rsidR="00F25A98">
        <w:t xml:space="preserve">  </w:t>
      </w:r>
      <w:r w:rsidR="00A1477B">
        <w:t>And t</w:t>
      </w:r>
      <w:r w:rsidR="009649F2">
        <w:t>he absolute finality rule</w:t>
      </w:r>
      <w:r w:rsidR="005F2E43">
        <w:t>, despite its flaws,</w:t>
      </w:r>
      <w:r w:rsidR="009649F2">
        <w:t xml:space="preserve"> </w:t>
      </w:r>
      <w:r w:rsidR="00A1477B">
        <w:t>provide</w:t>
      </w:r>
      <w:r w:rsidR="00723CCA">
        <w:t>s</w:t>
      </w:r>
      <w:r w:rsidR="00190EE4">
        <w:t xml:space="preserve"> </w:t>
      </w:r>
      <w:r w:rsidR="00056B5B">
        <w:t xml:space="preserve">a </w:t>
      </w:r>
      <w:r w:rsidR="00AC0481">
        <w:t>relatively</w:t>
      </w:r>
      <w:r w:rsidR="00056B5B">
        <w:t xml:space="preserve"> bright-</w:t>
      </w:r>
      <w:r w:rsidR="00DE5712">
        <w:t>line</w:t>
      </w:r>
      <w:r w:rsidR="00056B5B">
        <w:t xml:space="preserve"> test</w:t>
      </w:r>
      <w:r w:rsidR="000957CD">
        <w:t>.  It also</w:t>
      </w:r>
      <w:r w:rsidR="00190EE4">
        <w:t xml:space="preserve"> </w:t>
      </w:r>
      <w:r w:rsidR="000957CD">
        <w:t>incentivizes</w:t>
      </w:r>
      <w:r w:rsidR="00190EE4">
        <w:t xml:space="preserve"> </w:t>
      </w:r>
      <w:r w:rsidR="005F434B">
        <w:t xml:space="preserve">district courts to stay litigation pending </w:t>
      </w:r>
      <w:r w:rsidR="00F21056">
        <w:t xml:space="preserve">PTO </w:t>
      </w:r>
      <w:r w:rsidR="005F434B">
        <w:t>review</w:t>
      </w:r>
      <w:r w:rsidR="005F2E43">
        <w:t xml:space="preserve"> to avoid having their work </w:t>
      </w:r>
      <w:r w:rsidR="00A1477B">
        <w:t>negated</w:t>
      </w:r>
      <w:r w:rsidR="005F2E43">
        <w:t xml:space="preserve"> by a PTO decision of invalidity</w:t>
      </w:r>
      <w:r w:rsidR="000957CD">
        <w:t>.</w:t>
      </w:r>
      <w:r w:rsidR="00DC0994">
        <w:rPr>
          <w:rStyle w:val="FootnoteReference"/>
        </w:rPr>
        <w:footnoteReference w:id="25"/>
      </w:r>
      <w:r w:rsidR="000957CD">
        <w:t xml:space="preserve">  Judicious use of the discretionary power to stay litigation may, in fact, be the </w:t>
      </w:r>
      <w:r w:rsidR="00A87001">
        <w:t>most effective</w:t>
      </w:r>
      <w:r w:rsidR="000957CD">
        <w:t xml:space="preserve"> way for courts </w:t>
      </w:r>
      <w:r w:rsidR="00A87001">
        <w:t xml:space="preserve">to </w:t>
      </w:r>
      <w:r w:rsidR="000957CD">
        <w:t xml:space="preserve">avoid conflicts with the PTO.  The courts should stay litigation when duplicative proceedings would </w:t>
      </w:r>
      <w:r w:rsidR="005F2E43">
        <w:t xml:space="preserve">likely </w:t>
      </w:r>
      <w:r w:rsidR="000957CD">
        <w:t xml:space="preserve">be inefficient, but deny stays when an accused infringer is </w:t>
      </w:r>
      <w:r w:rsidR="00DC0994">
        <w:t>merely</w:t>
      </w:r>
      <w:r w:rsidR="000957CD">
        <w:t xml:space="preserve"> seeking a second chance at avoiding liability.</w:t>
      </w:r>
    </w:p>
    <w:p w14:paraId="2779004E" w14:textId="3E6952D1" w:rsidR="006B0EBF" w:rsidRDefault="006E2CDF" w:rsidP="005F434B">
      <w:pPr>
        <w:pStyle w:val="BodyText"/>
        <w:ind w:firstLine="360"/>
        <w:jc w:val="both"/>
      </w:pPr>
      <w:r>
        <w:t xml:space="preserve">Of course, that principle is easier to state than it is for district courts to consistently apply.  And </w:t>
      </w:r>
      <w:r w:rsidR="00723CCA">
        <w:t>staying litigation</w:t>
      </w:r>
      <w:r w:rsidR="000957CD">
        <w:t xml:space="preserve"> is</w:t>
      </w:r>
      <w:r w:rsidR="00AC0E3D">
        <w:t xml:space="preserve"> </w:t>
      </w:r>
      <w:r w:rsidR="00644976">
        <w:t>not</w:t>
      </w:r>
      <w:r>
        <w:t xml:space="preserve"> </w:t>
      </w:r>
      <w:r w:rsidR="00644976">
        <w:t xml:space="preserve">the </w:t>
      </w:r>
      <w:r w:rsidR="00190EE4">
        <w:t xml:space="preserve">only </w:t>
      </w:r>
      <w:r w:rsidR="00644976">
        <w:t xml:space="preserve">option </w:t>
      </w:r>
      <w:r w:rsidR="001F3BB7">
        <w:t>for mediating</w:t>
      </w:r>
      <w:r w:rsidR="00190EE4">
        <w:t xml:space="preserve"> c</w:t>
      </w:r>
      <w:r w:rsidR="000957CD">
        <w:t>onflicting decisions</w:t>
      </w:r>
      <w:r w:rsidR="00DC0994">
        <w:t xml:space="preserve"> on patent validity</w:t>
      </w:r>
      <w:r w:rsidR="000957CD">
        <w:t>.</w:t>
      </w:r>
      <w:r w:rsidR="00C46F12">
        <w:t xml:space="preserve">  This article evaluates several other options for reducing the likelihood of conflicting decisions, such as </w:t>
      </w:r>
      <w:r w:rsidR="00C46F12" w:rsidRPr="00C46F12">
        <w:t xml:space="preserve">requiring the courts and the PTO to apply the same burden of proof </w:t>
      </w:r>
      <w:r w:rsidR="004A066B">
        <w:t>on the issue of validity and r</w:t>
      </w:r>
      <w:r w:rsidR="00C46F12" w:rsidRPr="00C46F12">
        <w:t xml:space="preserve">equiring patent validity challenges to take place </w:t>
      </w:r>
      <w:r w:rsidR="004A066B">
        <w:t xml:space="preserve">exclusively at </w:t>
      </w:r>
      <w:r w:rsidR="00C46F12" w:rsidRPr="00C46F12">
        <w:t>the PTO</w:t>
      </w:r>
      <w:r w:rsidR="00C46F12">
        <w:t>.</w:t>
      </w:r>
      <w:r w:rsidR="00C46F12">
        <w:rPr>
          <w:rStyle w:val="FootnoteReference"/>
        </w:rPr>
        <w:footnoteReference w:id="26"/>
      </w:r>
      <w:r w:rsidR="00C46F12">
        <w:t xml:space="preserve">  Ultimately, the problem of conflicting court and PTO decisions—although serious when it occurs—may be too episodic to justify </w:t>
      </w:r>
      <w:r w:rsidR="004A066B">
        <w:t>such dramatic</w:t>
      </w:r>
      <w:r w:rsidR="001F7F0E">
        <w:t xml:space="preserve"> changes to</w:t>
      </w:r>
      <w:r w:rsidR="00C46F12">
        <w:t xml:space="preserve"> the patent system.  </w:t>
      </w:r>
      <w:r w:rsidR="001F7F0E">
        <w:t>The aim of reducing conflicting</w:t>
      </w:r>
      <w:r w:rsidR="00C46F12">
        <w:t xml:space="preserve"> </w:t>
      </w:r>
      <w:r w:rsidR="00F872D6">
        <w:t xml:space="preserve">decisions </w:t>
      </w:r>
      <w:r w:rsidR="00C46F12">
        <w:t xml:space="preserve">does, however, lend support to otherwise sensible reforms that are currently pending in Congress, such </w:t>
      </w:r>
      <w:r w:rsidR="00F872D6">
        <w:t xml:space="preserve">as </w:t>
      </w:r>
      <w:r w:rsidR="001F7F0E">
        <w:t>proposals</w:t>
      </w:r>
      <w:r w:rsidR="00C46F12">
        <w:t xml:space="preserve"> to harmonize the standards of </w:t>
      </w:r>
      <w:r w:rsidR="0012014D">
        <w:t xml:space="preserve">patent </w:t>
      </w:r>
      <w:r w:rsidR="00C46F12">
        <w:t>claim construction applied by the courts and the PTO.</w:t>
      </w:r>
      <w:r w:rsidR="005F434B">
        <w:rPr>
          <w:rStyle w:val="FootnoteReference"/>
        </w:rPr>
        <w:footnoteReference w:id="27"/>
      </w:r>
      <w:r w:rsidR="0085219E">
        <w:t xml:space="preserve">  </w:t>
      </w:r>
    </w:p>
    <w:p w14:paraId="00C15CE9" w14:textId="3E3176C6" w:rsidR="001A3DF3" w:rsidRDefault="001A3DF3" w:rsidP="005F434B">
      <w:pPr>
        <w:pStyle w:val="BodyText"/>
        <w:ind w:firstLine="360"/>
        <w:jc w:val="both"/>
      </w:pPr>
      <w:r>
        <w:t>Before proceeding to the body of the article, a brief note on terminology is in order</w:t>
      </w:r>
      <w:r w:rsidR="007D3C91">
        <w:t xml:space="preserve">.  </w:t>
      </w:r>
      <w:r w:rsidR="00C05BF1">
        <w:t xml:space="preserve">When a court rejects a challenge to patent validity but the PTO invalidates the same patent, the article often characterizes </w:t>
      </w:r>
      <w:r w:rsidR="00C75064">
        <w:t>the court and PTO</w:t>
      </w:r>
      <w:r w:rsidR="00C05BF1">
        <w:t xml:space="preserve"> decisions as “conflicting.”  Yet it is </w:t>
      </w:r>
      <w:r>
        <w:t xml:space="preserve">possible that </w:t>
      </w:r>
      <w:r w:rsidR="00C05BF1">
        <w:t>both decisions are</w:t>
      </w:r>
      <w:r w:rsidR="00F67DC3">
        <w:t xml:space="preserve"> actually</w:t>
      </w:r>
      <w:r w:rsidR="00C05BF1">
        <w:t xml:space="preserve"> </w:t>
      </w:r>
      <w:r w:rsidR="004C3968">
        <w:t>correct</w:t>
      </w:r>
      <w:r>
        <w:t xml:space="preserve"> based on the governing law and the factual record.  For instance, the record in a given case might be insufficient to show that a patent is invalid by clear and convincing evidence, which means that a validity challenge in court will fail, but the same record might be just strong enough to show that the same patent is invalid by a preponderance of the evidence, which will be sufficient to obtain a ruling of invalidity from the PTO.</w:t>
      </w:r>
      <w:bookmarkStart w:id="9" w:name="_Ref433824208"/>
      <w:r>
        <w:rPr>
          <w:rStyle w:val="FootnoteReference"/>
        </w:rPr>
        <w:footnoteReference w:id="28"/>
      </w:r>
      <w:bookmarkEnd w:id="9"/>
      <w:r>
        <w:t xml:space="preserve">  Alternatively, the record</w:t>
      </w:r>
      <w:r w:rsidR="004A066B">
        <w:t>s</w:t>
      </w:r>
      <w:r>
        <w:t xml:space="preserve"> before the court and the </w:t>
      </w:r>
      <w:r>
        <w:lastRenderedPageBreak/>
        <w:t xml:space="preserve">PTO might be different, with the </w:t>
      </w:r>
      <w:r w:rsidR="00FE112F">
        <w:t>parties presenting different</w:t>
      </w:r>
      <w:r>
        <w:t xml:space="preserve"> invalidity arguments, which might </w:t>
      </w:r>
      <w:r w:rsidR="004C3968">
        <w:t>also</w:t>
      </w:r>
      <w:r>
        <w:t xml:space="preserve"> explain why a court rejected a validity challenge but the PTO found the same patent to be invalid.</w:t>
      </w:r>
      <w:bookmarkStart w:id="10" w:name="_Ref433824215"/>
      <w:r>
        <w:rPr>
          <w:rStyle w:val="FootnoteReference"/>
        </w:rPr>
        <w:footnoteReference w:id="29"/>
      </w:r>
      <w:bookmarkEnd w:id="10"/>
      <w:r>
        <w:t xml:space="preserve">  Recognizing that</w:t>
      </w:r>
      <w:r w:rsidR="00FE112F">
        <w:t xml:space="preserve"> the cou</w:t>
      </w:r>
      <w:r>
        <w:t xml:space="preserve">rts and the PTO are not necessarily deciding the same legal question on the same factual record, </w:t>
      </w:r>
      <w:r w:rsidR="00FE112F">
        <w:t>the article uses the term</w:t>
      </w:r>
      <w:r>
        <w:t xml:space="preserve"> “conflicting” (or synonyms such as “contrary” or “inconsistent”) as short hand for the more precise statement that a court has conclusively rejected a challenge to patent validity while the PTO, in </w:t>
      </w:r>
      <w:r w:rsidR="004C3968">
        <w:t xml:space="preserve">a </w:t>
      </w:r>
      <w:r w:rsidR="00FE112F">
        <w:t xml:space="preserve">contemporaneous </w:t>
      </w:r>
      <w:r>
        <w:t>post-issuance proceeding, ruled that the same patent is invalid.</w:t>
      </w:r>
      <w:r w:rsidR="00FE112F">
        <w:t xml:space="preserve">  </w:t>
      </w:r>
      <w:r w:rsidR="004C3968">
        <w:t xml:space="preserve">This article’s objective is to determine which of those </w:t>
      </w:r>
      <w:r w:rsidR="00C05BF1">
        <w:t xml:space="preserve">two </w:t>
      </w:r>
      <w:r w:rsidR="004C3968">
        <w:t>decisions—which might both be correct—should take precedence</w:t>
      </w:r>
      <w:r w:rsidR="00FE112F">
        <w:t>.</w:t>
      </w:r>
      <w:r w:rsidR="006B736C">
        <w:rPr>
          <w:rStyle w:val="FootnoteReference"/>
        </w:rPr>
        <w:footnoteReference w:id="30"/>
      </w:r>
      <w:r w:rsidR="00FE112F">
        <w:t xml:space="preserve"> </w:t>
      </w:r>
      <w:r>
        <w:t xml:space="preserve">  </w:t>
      </w:r>
      <w:r w:rsidR="00F503D2">
        <w:t xml:space="preserve">  </w:t>
      </w:r>
    </w:p>
    <w:p w14:paraId="5B2587EB" w14:textId="2C9BEABF" w:rsidR="008A0681" w:rsidRPr="00686855" w:rsidRDefault="00C75064" w:rsidP="00A80D16">
      <w:pPr>
        <w:pStyle w:val="BodyText"/>
        <w:ind w:firstLine="360"/>
        <w:jc w:val="both"/>
      </w:pPr>
      <w:r>
        <w:t>T</w:t>
      </w:r>
      <w:r w:rsidR="00DE5712">
        <w:t>h</w:t>
      </w:r>
      <w:r w:rsidR="001A3DF3">
        <w:t xml:space="preserve">e remainder of the </w:t>
      </w:r>
      <w:r w:rsidR="008614BC">
        <w:t>article proceeds as follows.</w:t>
      </w:r>
      <w:r w:rsidR="00927375">
        <w:t xml:space="preserve"> </w:t>
      </w:r>
      <w:r w:rsidR="008614BC">
        <w:t xml:space="preserve"> </w:t>
      </w:r>
      <w:r w:rsidR="00801A8E">
        <w:t xml:space="preserve">Part I </w:t>
      </w:r>
      <w:r w:rsidR="00DE5712">
        <w:t>provides background on</w:t>
      </w:r>
      <w:r w:rsidR="00801A8E">
        <w:t xml:space="preserve"> the various proceedings through which </w:t>
      </w:r>
      <w:r w:rsidR="00DE5712">
        <w:t>the</w:t>
      </w:r>
      <w:r w:rsidR="00801A8E">
        <w:t xml:space="preserve"> courts and the PTO evaluate patent validity.  Part II analyzes, in detail, several recent cases in which the </w:t>
      </w:r>
      <w:r w:rsidR="001C4767">
        <w:t>Federal Circuit has</w:t>
      </w:r>
      <w:r w:rsidR="002E1A13">
        <w:t xml:space="preserve"> struggled to reconcile </w:t>
      </w:r>
      <w:r w:rsidR="00A87001">
        <w:t>inconsistent court and PTO rulings on patent validity</w:t>
      </w:r>
      <w:r w:rsidR="002E1A13">
        <w:t>.  Part III</w:t>
      </w:r>
      <w:r w:rsidR="00065648">
        <w:t>, the heart of the article,</w:t>
      </w:r>
      <w:r w:rsidR="002E1A13">
        <w:t xml:space="preserve"> </w:t>
      </w:r>
      <w:r w:rsidR="00DB076C">
        <w:t xml:space="preserve">critiques the Federal Circuit’s absolute finality rule from a doctrinal perspective and considers alternative approaches for </w:t>
      </w:r>
      <w:r w:rsidR="001F3BB7">
        <w:t xml:space="preserve">resolving </w:t>
      </w:r>
      <w:r w:rsidR="00423FBC">
        <w:t>conflicting decisions</w:t>
      </w:r>
      <w:r w:rsidR="00ED47FE">
        <w:t xml:space="preserve">. </w:t>
      </w:r>
      <w:r w:rsidR="00065648">
        <w:t xml:space="preserve"> Finally, </w:t>
      </w:r>
      <w:r w:rsidR="00ED47FE">
        <w:t xml:space="preserve">Part IV </w:t>
      </w:r>
      <w:r w:rsidR="00DC0994">
        <w:t>assesses</w:t>
      </w:r>
      <w:r w:rsidR="00DB076C">
        <w:t xml:space="preserve"> the futur</w:t>
      </w:r>
      <w:r w:rsidR="001F3BB7">
        <w:t>e of the absolute finality rule</w:t>
      </w:r>
      <w:r w:rsidR="00DB076C">
        <w:t xml:space="preserve"> with an eye toward legislative reforms that </w:t>
      </w:r>
      <w:r w:rsidR="004A066B">
        <w:t>c</w:t>
      </w:r>
      <w:r w:rsidR="00DC0994">
        <w:t>ould</w:t>
      </w:r>
      <w:r w:rsidR="00DB076C">
        <w:t xml:space="preserve"> better harmonize </w:t>
      </w:r>
      <w:r w:rsidR="00A87001">
        <w:t>proceedings in court and at the PTO</w:t>
      </w:r>
      <w:r w:rsidR="002E1A13">
        <w:t xml:space="preserve">.     </w:t>
      </w:r>
      <w:r w:rsidR="00801A8E">
        <w:t xml:space="preserve"> </w:t>
      </w:r>
    </w:p>
    <w:p w14:paraId="629175C3" w14:textId="6236E19D" w:rsidR="00796BFC" w:rsidRPr="00801F01" w:rsidRDefault="00796BFC" w:rsidP="009039D5">
      <w:pPr>
        <w:pStyle w:val="ListParagraph"/>
        <w:keepNext/>
        <w:ind w:left="360" w:hanging="360"/>
        <w:jc w:val="center"/>
        <w:rPr>
          <w:smallCaps/>
        </w:rPr>
      </w:pPr>
      <w:r w:rsidRPr="00801F01">
        <w:rPr>
          <w:smallCaps/>
        </w:rPr>
        <w:t>I.</w:t>
      </w:r>
      <w:r w:rsidRPr="00801F01">
        <w:rPr>
          <w:smallCaps/>
        </w:rPr>
        <w:tab/>
      </w:r>
      <w:r w:rsidR="00C3381E">
        <w:rPr>
          <w:smallCaps/>
        </w:rPr>
        <w:t>Parallel Systems</w:t>
      </w:r>
      <w:r w:rsidR="00E05E53">
        <w:rPr>
          <w:smallCaps/>
        </w:rPr>
        <w:t xml:space="preserve"> of Patent Adjudication</w:t>
      </w:r>
    </w:p>
    <w:p w14:paraId="6B45CA45" w14:textId="7C374E5E" w:rsidR="00A4314C" w:rsidRDefault="002E1A13" w:rsidP="00E9162E">
      <w:pPr>
        <w:pStyle w:val="ListParagraph"/>
        <w:ind w:left="0"/>
        <w:jc w:val="both"/>
      </w:pPr>
      <w:r>
        <w:t xml:space="preserve">In the United States, both the federal courts and the PTO may review the validity of an issued patent.  </w:t>
      </w:r>
      <w:r w:rsidR="008743D6">
        <w:t>In those proceedings, t</w:t>
      </w:r>
      <w:r>
        <w:t xml:space="preserve">he courts and the PTO are ostensibly deciding the same question:  Does the patent satisfy the requirements of the federal Patent Act?  </w:t>
      </w:r>
      <w:r w:rsidR="008743D6">
        <w:t xml:space="preserve">Yet </w:t>
      </w:r>
      <w:r w:rsidR="00B76D5F">
        <w:t>o</w:t>
      </w:r>
      <w:r w:rsidR="008743D6">
        <w:t>n legal issues critical to determining patent validit</w:t>
      </w:r>
      <w:r w:rsidR="00B76D5F">
        <w:t>y, the substantive law differs</w:t>
      </w:r>
      <w:r w:rsidR="00927375">
        <w:t xml:space="preserve"> depending on the forum</w:t>
      </w:r>
      <w:r w:rsidR="00E431AB">
        <w:t xml:space="preserve">, which complicates the relationship between the </w:t>
      </w:r>
      <w:r w:rsidR="00C958FF">
        <w:t>two</w:t>
      </w:r>
      <w:r w:rsidR="00E431AB">
        <w:t xml:space="preserve"> proceedings.  </w:t>
      </w:r>
    </w:p>
    <w:p w14:paraId="6F6DB9DE" w14:textId="65C74F64" w:rsidR="0090169A" w:rsidRDefault="0090169A" w:rsidP="009D0C09">
      <w:pPr>
        <w:pStyle w:val="ListParagraph"/>
        <w:keepNext/>
        <w:ind w:left="360" w:hanging="360"/>
        <w:jc w:val="center"/>
      </w:pPr>
      <w:r>
        <w:t>A.</w:t>
      </w:r>
      <w:r>
        <w:tab/>
      </w:r>
      <w:r w:rsidR="00E431AB">
        <w:t xml:space="preserve">Litigation and Post-Issuance Review </w:t>
      </w:r>
    </w:p>
    <w:p w14:paraId="3DBDC060" w14:textId="05DE99F7" w:rsidR="0034631F" w:rsidRDefault="0085219E" w:rsidP="00E431AB">
      <w:pPr>
        <w:pStyle w:val="ListParagraph"/>
        <w:ind w:left="0"/>
        <w:jc w:val="both"/>
      </w:pPr>
      <w:r>
        <w:t>Before examining that relationship, it is helpful to first provide some background on the process of patent litigation in the federal courts and post-</w:t>
      </w:r>
      <w:r>
        <w:lastRenderedPageBreak/>
        <w:t xml:space="preserve">issuance review at the PTO.  </w:t>
      </w:r>
      <w:r w:rsidR="00B76D5F">
        <w:t>I</w:t>
      </w:r>
      <w:r w:rsidR="004835E1">
        <w:t>f a patent holder thinks</w:t>
      </w:r>
      <w:r w:rsidR="00A87001">
        <w:t xml:space="preserve"> someone is infringing</w:t>
      </w:r>
      <w:r w:rsidR="004835E1">
        <w:t xml:space="preserve"> its patent, the patent holder may file an infringement suit in </w:t>
      </w:r>
      <w:r w:rsidR="001633D4">
        <w:t>federal court.</w:t>
      </w:r>
      <w:bookmarkStart w:id="11" w:name="_Ref300403952"/>
      <w:r w:rsidR="008014CC">
        <w:rPr>
          <w:rStyle w:val="FootnoteReference"/>
        </w:rPr>
        <w:footnoteReference w:id="31"/>
      </w:r>
      <w:bookmarkEnd w:id="11"/>
      <w:r w:rsidR="00C3381E">
        <w:t xml:space="preserve">  </w:t>
      </w:r>
      <w:r w:rsidR="002A724A">
        <w:t>In response to an infringement suit, accused infringers commonly raise three defenses.  First, the accused infringer will argue that it does not, in fact, infringe the patent.</w:t>
      </w:r>
      <w:r w:rsidR="002A724A">
        <w:rPr>
          <w:rStyle w:val="FootnoteReference"/>
        </w:rPr>
        <w:footnoteReference w:id="32"/>
      </w:r>
      <w:r w:rsidR="002A724A">
        <w:t xml:space="preserve">  Second, the accused infringer will assert that the patent is unenforceable </w:t>
      </w:r>
      <w:r w:rsidR="001633D4">
        <w:t>because, for instance, the patent holder obtained the patent through misrepresentations to the PTO</w:t>
      </w:r>
      <w:r w:rsidR="002A724A">
        <w:t>.</w:t>
      </w:r>
      <w:r w:rsidR="002A724A">
        <w:rPr>
          <w:rStyle w:val="FootnoteReference"/>
        </w:rPr>
        <w:footnoteReference w:id="33"/>
      </w:r>
      <w:r w:rsidR="002A724A">
        <w:t xml:space="preserve">  Finally, and most important</w:t>
      </w:r>
      <w:r w:rsidR="00AE7E05">
        <w:t>ly</w:t>
      </w:r>
      <w:r w:rsidR="002A724A">
        <w:t xml:space="preserve"> for the purpose of this article, the accused infringer will claim that </w:t>
      </w:r>
      <w:r w:rsidR="001633D4">
        <w:t xml:space="preserve">the patent is invalid </w:t>
      </w:r>
      <w:r w:rsidR="0067203B">
        <w:t>because it does not satisfy one or more</w:t>
      </w:r>
      <w:r w:rsidR="001633D4">
        <w:t xml:space="preserve"> requirements of the Patent Act.</w:t>
      </w:r>
      <w:r w:rsidR="00AE7E05">
        <w:rPr>
          <w:rStyle w:val="FootnoteReference"/>
        </w:rPr>
        <w:footnoteReference w:id="34"/>
      </w:r>
      <w:r w:rsidR="001633D4">
        <w:t xml:space="preserve">  </w:t>
      </w:r>
      <w:r w:rsidR="00C3381E">
        <w:t>T</w:t>
      </w:r>
      <w:r w:rsidR="005349F4">
        <w:t xml:space="preserve">he </w:t>
      </w:r>
      <w:r w:rsidR="001633D4">
        <w:t>Patent Act requires</w:t>
      </w:r>
      <w:r w:rsidR="00C3381E">
        <w:t>, among other things,</w:t>
      </w:r>
      <w:r w:rsidR="005349F4">
        <w:t xml:space="preserve"> t</w:t>
      </w:r>
      <w:r w:rsidR="001633D4">
        <w:t>hat a patent</w:t>
      </w:r>
      <w:r w:rsidR="000A767B">
        <w:t xml:space="preserve"> </w:t>
      </w:r>
      <w:r w:rsidR="008014CC">
        <w:t>claim patentable subject matter</w:t>
      </w:r>
      <w:r w:rsidR="005349F4">
        <w:t>;</w:t>
      </w:r>
      <w:r w:rsidR="000A767B">
        <w:rPr>
          <w:rStyle w:val="FootnoteReference"/>
        </w:rPr>
        <w:footnoteReference w:id="35"/>
      </w:r>
      <w:r w:rsidR="001633D4">
        <w:t xml:space="preserve"> </w:t>
      </w:r>
      <w:r w:rsidR="00B75890">
        <w:t xml:space="preserve">that the claimed invention </w:t>
      </w:r>
      <w:r w:rsidR="001633D4">
        <w:t xml:space="preserve">be </w:t>
      </w:r>
      <w:r w:rsidR="008014CC">
        <w:t>useful,</w:t>
      </w:r>
      <w:r w:rsidR="000A767B">
        <w:rPr>
          <w:rStyle w:val="FootnoteReference"/>
        </w:rPr>
        <w:footnoteReference w:id="36"/>
      </w:r>
      <w:r w:rsidR="008014CC">
        <w:t xml:space="preserve"> </w:t>
      </w:r>
      <w:r w:rsidR="001633D4">
        <w:t>novel,</w:t>
      </w:r>
      <w:r w:rsidR="000A767B">
        <w:rPr>
          <w:rStyle w:val="FootnoteReference"/>
        </w:rPr>
        <w:footnoteReference w:id="37"/>
      </w:r>
      <w:r w:rsidR="008014CC">
        <w:t xml:space="preserve"> and nonobvious;</w:t>
      </w:r>
      <w:r w:rsidR="00B75890">
        <w:rPr>
          <w:rStyle w:val="FootnoteReference"/>
        </w:rPr>
        <w:footnoteReference w:id="38"/>
      </w:r>
      <w:r w:rsidR="008014CC">
        <w:t xml:space="preserve"> and</w:t>
      </w:r>
      <w:r w:rsidR="00B75890">
        <w:t xml:space="preserve"> that the patent</w:t>
      </w:r>
      <w:r w:rsidR="008014CC">
        <w:t xml:space="preserve"> adequately </w:t>
      </w:r>
      <w:r w:rsidR="005349F4">
        <w:t>describe</w:t>
      </w:r>
      <w:r w:rsidR="008014CC">
        <w:t xml:space="preserve"> the invention so others may practice </w:t>
      </w:r>
      <w:r w:rsidR="005349F4">
        <w:t>it</w:t>
      </w:r>
      <w:r w:rsidR="008014CC">
        <w:t xml:space="preserve"> in the future.</w:t>
      </w:r>
      <w:r w:rsidR="00B75890">
        <w:rPr>
          <w:rStyle w:val="FootnoteReference"/>
        </w:rPr>
        <w:footnoteReference w:id="39"/>
      </w:r>
      <w:r w:rsidR="004B2B5B">
        <w:t xml:space="preserve">  </w:t>
      </w:r>
    </w:p>
    <w:p w14:paraId="6D72919B" w14:textId="3389F17A" w:rsidR="001633D4" w:rsidRDefault="005349F4" w:rsidP="004B2B5B">
      <w:pPr>
        <w:pStyle w:val="ListParagraph"/>
        <w:ind w:left="0"/>
        <w:jc w:val="both"/>
      </w:pPr>
      <w:r>
        <w:t>To obtain a court decision on patent validity, a</w:t>
      </w:r>
      <w:r w:rsidR="008C10BA">
        <w:t xml:space="preserve"> potential infringer </w:t>
      </w:r>
      <w:r>
        <w:t>need</w:t>
      </w:r>
      <w:r w:rsidR="008C10BA">
        <w:t xml:space="preserve"> not </w:t>
      </w:r>
      <w:r>
        <w:t>wait for the</w:t>
      </w:r>
      <w:r w:rsidR="008C10BA">
        <w:t xml:space="preserve"> patent holder to sue for infringement.  </w:t>
      </w:r>
      <w:r w:rsidR="00C3381E">
        <w:t xml:space="preserve">The Declaratory Judgment Act allows </w:t>
      </w:r>
      <w:r>
        <w:t xml:space="preserve">a </w:t>
      </w:r>
      <w:r w:rsidR="008014CC">
        <w:t xml:space="preserve">potential infringer </w:t>
      </w:r>
      <w:r w:rsidR="00C3381E">
        <w:t>to</w:t>
      </w:r>
      <w:r w:rsidR="008014CC">
        <w:t xml:space="preserve"> file its own </w:t>
      </w:r>
      <w:r w:rsidR="00927375">
        <w:t>law</w:t>
      </w:r>
      <w:r w:rsidR="008014CC">
        <w:t xml:space="preserve">suit </w:t>
      </w:r>
      <w:r w:rsidR="00C3381E">
        <w:t>and</w:t>
      </w:r>
      <w:r w:rsidR="008014CC">
        <w:t xml:space="preserve"> seek a </w:t>
      </w:r>
      <w:r>
        <w:t>declaration</w:t>
      </w:r>
      <w:r w:rsidR="008014CC">
        <w:t xml:space="preserve"> that the </w:t>
      </w:r>
      <w:r w:rsidR="008014CC">
        <w:lastRenderedPageBreak/>
        <w:t xml:space="preserve">patent is invalid, </w:t>
      </w:r>
      <w:r w:rsidR="00B75890">
        <w:t>unenforceable, or not infringed</w:t>
      </w:r>
      <w:r w:rsidR="00C3381E">
        <w:t>, provided there is an “actual controversy” between the parties.</w:t>
      </w:r>
      <w:r w:rsidR="00B75890">
        <w:rPr>
          <w:rStyle w:val="FootnoteReference"/>
        </w:rPr>
        <w:footnoteReference w:id="40"/>
      </w:r>
    </w:p>
    <w:p w14:paraId="0894DBC6" w14:textId="1A94F652" w:rsidR="00E45C82" w:rsidRDefault="004B2B5B" w:rsidP="007E22C4">
      <w:pPr>
        <w:pStyle w:val="ListParagraph"/>
        <w:ind w:left="0"/>
        <w:jc w:val="both"/>
      </w:pPr>
      <w:r>
        <w:t>I</w:t>
      </w:r>
      <w:r w:rsidR="008014CC">
        <w:t xml:space="preserve">f a court </w:t>
      </w:r>
      <w:r>
        <w:t>decides that</w:t>
      </w:r>
      <w:r w:rsidR="008014CC">
        <w:t xml:space="preserve"> a patent </w:t>
      </w:r>
      <w:r>
        <w:t>is</w:t>
      </w:r>
      <w:r w:rsidR="008014CC">
        <w:t xml:space="preserve"> invalid, future defendants accused of infringing that patent may</w:t>
      </w:r>
      <w:r w:rsidR="00056B5B">
        <w:t>, under the doctrine of issue preclusion,</w:t>
      </w:r>
      <w:r w:rsidR="008014CC">
        <w:t xml:space="preserve"> rely on the previous judgment of invalidity as a </w:t>
      </w:r>
      <w:r w:rsidR="009E0625">
        <w:t xml:space="preserve">complete </w:t>
      </w:r>
      <w:r w:rsidR="008014CC">
        <w:t>defense.</w:t>
      </w:r>
      <w:bookmarkStart w:id="12" w:name="_Ref306102253"/>
      <w:r w:rsidR="00182E65">
        <w:rPr>
          <w:rStyle w:val="FootnoteReference"/>
        </w:rPr>
        <w:footnoteReference w:id="41"/>
      </w:r>
      <w:bookmarkEnd w:id="12"/>
      <w:r>
        <w:t xml:space="preserve">  </w:t>
      </w:r>
      <w:r w:rsidR="00E45C82">
        <w:t xml:space="preserve">By contrast, if a court </w:t>
      </w:r>
      <w:r w:rsidR="0033106F">
        <w:t xml:space="preserve">rejects a challenge to the patent’s validity </w:t>
      </w:r>
      <w:r w:rsidR="00E45C82">
        <w:t xml:space="preserve">in one case, the patent holder may not, in most circumstances, use that finding offensively against another accused infringer in a </w:t>
      </w:r>
      <w:r w:rsidR="00224193">
        <w:t>later</w:t>
      </w:r>
      <w:r w:rsidR="00E45C82">
        <w:t xml:space="preserve"> case</w:t>
      </w:r>
      <w:bookmarkStart w:id="13" w:name="_Ref303262805"/>
      <w:r>
        <w:rPr>
          <w:rStyle w:val="FootnoteReference"/>
        </w:rPr>
        <w:footnoteReference w:id="42"/>
      </w:r>
      <w:bookmarkEnd w:id="13"/>
      <w:r w:rsidR="0085219E">
        <w:t xml:space="preserve"> because</w:t>
      </w:r>
      <w:r w:rsidR="00543B7A">
        <w:t xml:space="preserve"> </w:t>
      </w:r>
      <w:r w:rsidR="00056B5B">
        <w:t>d</w:t>
      </w:r>
      <w:r w:rsidR="001418EB">
        <w:t xml:space="preserve">ue </w:t>
      </w:r>
      <w:r w:rsidR="00E45C82">
        <w:t>process strict</w:t>
      </w:r>
      <w:r w:rsidR="00543B7A">
        <w:t>ly</w:t>
      </w:r>
      <w:r w:rsidR="00E45C82">
        <w:t xml:space="preserve"> limits the use of preclusion against nonparties to </w:t>
      </w:r>
      <w:r w:rsidR="001F3BB7">
        <w:t>a</w:t>
      </w:r>
      <w:r w:rsidR="00E45C82">
        <w:t xml:space="preserve"> </w:t>
      </w:r>
      <w:r w:rsidR="00C958FF">
        <w:t>previous</w:t>
      </w:r>
      <w:r w:rsidR="00E45C82">
        <w:t xml:space="preserve"> case.</w:t>
      </w:r>
      <w:bookmarkStart w:id="14" w:name="_Ref300835528"/>
      <w:r w:rsidR="00E45C82">
        <w:rPr>
          <w:rStyle w:val="FootnoteReference"/>
        </w:rPr>
        <w:footnoteReference w:id="43"/>
      </w:r>
      <w:bookmarkEnd w:id="14"/>
      <w:r>
        <w:t xml:space="preserve">  Hence, the adage:  “Courts do not find patents ‘valid,’ only that the patent challenger did not carry the burden of establishing invalidity in the particular case before the court.”</w:t>
      </w:r>
      <w:r>
        <w:rPr>
          <w:rStyle w:val="FootnoteReference"/>
        </w:rPr>
        <w:footnoteReference w:id="44"/>
      </w:r>
      <w:r>
        <w:t xml:space="preserve"> </w:t>
      </w:r>
    </w:p>
    <w:p w14:paraId="63BD40D9" w14:textId="1BFF4A06" w:rsidR="005614CC" w:rsidRDefault="00A87001" w:rsidP="0034631F">
      <w:pPr>
        <w:pStyle w:val="ListParagraph"/>
        <w:ind w:left="0"/>
        <w:jc w:val="both"/>
      </w:pPr>
      <w:r>
        <w:t xml:space="preserve">The </w:t>
      </w:r>
      <w:r w:rsidR="000C5E0A">
        <w:t xml:space="preserve">PTO can also review the </w:t>
      </w:r>
      <w:r>
        <w:t>validity of an issued patent</w:t>
      </w:r>
      <w:r w:rsidR="00E431AB">
        <w:t xml:space="preserve">.  These </w:t>
      </w:r>
      <w:r w:rsidR="007633D4">
        <w:t xml:space="preserve">PTO </w:t>
      </w:r>
      <w:r w:rsidR="00E431AB">
        <w:t>proceedings are usually instigated by defendants in</w:t>
      </w:r>
      <w:r w:rsidR="007633D4">
        <w:t xml:space="preserve"> patent infringement litigation</w:t>
      </w:r>
      <w:r w:rsidR="00E431AB">
        <w:t xml:space="preserve"> or by those who are worried about becoming defendants in infringement litigation</w:t>
      </w:r>
      <w:r w:rsidR="00F578AB" w:rsidRPr="00F578AB">
        <w:t>.</w:t>
      </w:r>
      <w:r>
        <w:t xml:space="preserve">  C</w:t>
      </w:r>
      <w:r w:rsidR="005614CC">
        <w:t xml:space="preserve">onflicting court and PTO decisions—the focus of this article—can </w:t>
      </w:r>
      <w:r>
        <w:t>arise from</w:t>
      </w:r>
      <w:r w:rsidR="005614CC">
        <w:t xml:space="preserve"> a wide variety of PTO proceedings, so a </w:t>
      </w:r>
      <w:r>
        <w:t>relatively detailed overview</w:t>
      </w:r>
      <w:r w:rsidR="005614CC">
        <w:t xml:space="preserve"> of those proceedings, and of the differences </w:t>
      </w:r>
      <w:r w:rsidR="000C5E0A">
        <w:t>among</w:t>
      </w:r>
      <w:r w:rsidR="005614CC">
        <w:t xml:space="preserve"> them, will prove helpful later on.</w:t>
      </w:r>
    </w:p>
    <w:p w14:paraId="38DBA8DD" w14:textId="5FBA5AD0" w:rsidR="00C958FF" w:rsidRDefault="00E431AB" w:rsidP="0034631F">
      <w:pPr>
        <w:pStyle w:val="ListParagraph"/>
        <w:ind w:left="0"/>
        <w:jc w:val="both"/>
      </w:pPr>
      <w:r>
        <w:t>Congress created the first post-issuance proceeding</w:t>
      </w:r>
      <w:r w:rsidR="00A87001">
        <w:t xml:space="preserve"> to review patent validity</w:t>
      </w:r>
      <w:r>
        <w:t xml:space="preserve">, </w:t>
      </w:r>
      <w:r w:rsidR="0034631F">
        <w:t xml:space="preserve">ex parte reexamination, </w:t>
      </w:r>
      <w:r>
        <w:t>in 1980.</w:t>
      </w:r>
      <w:r>
        <w:rPr>
          <w:rStyle w:val="FootnoteReference"/>
        </w:rPr>
        <w:footnoteReference w:id="45"/>
      </w:r>
      <w:r w:rsidR="00A87001">
        <w:t xml:space="preserve"> </w:t>
      </w:r>
      <w:r w:rsidR="003A4003">
        <w:t xml:space="preserve"> </w:t>
      </w:r>
      <w:r w:rsidR="001F3BB7">
        <w:t>In ex parte reexamination</w:t>
      </w:r>
      <w:r w:rsidR="003A4003">
        <w:t xml:space="preserve">, </w:t>
      </w:r>
      <w:r w:rsidR="0034631F">
        <w:t xml:space="preserve">any person </w:t>
      </w:r>
      <w:r w:rsidR="003A4003">
        <w:t>can</w:t>
      </w:r>
      <w:r w:rsidR="0034631F">
        <w:t xml:space="preserve"> challenge the validity of an issued patent based on </w:t>
      </w:r>
      <w:r w:rsidR="00644976">
        <w:t xml:space="preserve">other </w:t>
      </w:r>
      <w:r w:rsidR="0034631F">
        <w:t xml:space="preserve">patents or </w:t>
      </w:r>
      <w:r w:rsidR="009E0625">
        <w:t xml:space="preserve">on </w:t>
      </w:r>
      <w:r w:rsidR="0034631F">
        <w:t xml:space="preserve">printed </w:t>
      </w:r>
      <w:r w:rsidR="0034631F">
        <w:lastRenderedPageBreak/>
        <w:t>publications</w:t>
      </w:r>
      <w:r w:rsidR="003A4003">
        <w:t xml:space="preserve"> in the prior art</w:t>
      </w:r>
      <w:r w:rsidR="0034631F">
        <w:t>.</w:t>
      </w:r>
      <w:bookmarkStart w:id="15" w:name="_Ref431230376"/>
      <w:r w:rsidR="00BB6B3C">
        <w:rPr>
          <w:rStyle w:val="FootnoteReference"/>
        </w:rPr>
        <w:footnoteReference w:id="46"/>
      </w:r>
      <w:bookmarkEnd w:id="15"/>
      <w:r w:rsidR="00BB6B3C">
        <w:t xml:space="preserve">  </w:t>
      </w:r>
      <w:r w:rsidR="00AB5D8D">
        <w:t xml:space="preserve">In </w:t>
      </w:r>
      <w:r w:rsidR="00C958FF">
        <w:t>creating ex parte reexamination</w:t>
      </w:r>
      <w:r w:rsidR="00AB5D8D">
        <w:t xml:space="preserve">, the House Judiciary Committee suggested that </w:t>
      </w:r>
      <w:r w:rsidR="00C958FF">
        <w:t>the proceeding</w:t>
      </w:r>
      <w:r w:rsidR="00AB5D8D">
        <w:t xml:space="preserve"> would </w:t>
      </w:r>
      <w:r w:rsidR="00C958FF">
        <w:t>be</w:t>
      </w:r>
      <w:r w:rsidR="00AB5D8D">
        <w:t xml:space="preserve"> an alternative to “expensive and lengthy infringement litigation” and that it would permit a patent owner “</w:t>
      </w:r>
      <w:r w:rsidR="00AB5D8D" w:rsidRPr="00AB5D8D">
        <w:t>to have the validity of his patent tested in the Patent Office where the most expert opinions exist</w:t>
      </w:r>
      <w:r w:rsidR="00AB5D8D">
        <w:t>.”</w:t>
      </w:r>
      <w:r w:rsidR="007505C4">
        <w:rPr>
          <w:rStyle w:val="FootnoteReference"/>
        </w:rPr>
        <w:footnoteReference w:id="47"/>
      </w:r>
      <w:r w:rsidR="007505C4">
        <w:t xml:space="preserve">  </w:t>
      </w:r>
    </w:p>
    <w:p w14:paraId="385819B1" w14:textId="68927F80" w:rsidR="009E0625" w:rsidRDefault="00AB5D8D" w:rsidP="009E0625">
      <w:pPr>
        <w:pStyle w:val="ListParagraph"/>
        <w:ind w:left="0"/>
        <w:jc w:val="both"/>
      </w:pPr>
      <w:r>
        <w:t>Under the statute, t</w:t>
      </w:r>
      <w:r w:rsidR="007505C4">
        <w:t xml:space="preserve">he PTO </w:t>
      </w:r>
      <w:r>
        <w:t xml:space="preserve">must </w:t>
      </w:r>
      <w:r w:rsidR="00C958FF">
        <w:t>institute</w:t>
      </w:r>
      <w:r w:rsidR="007505C4">
        <w:t xml:space="preserve"> reexamination if a request raises “a substantial new question of patentability</w:t>
      </w:r>
      <w:r w:rsidR="00F578AB" w:rsidRPr="00F578AB">
        <w:t>.</w:t>
      </w:r>
      <w:r w:rsidR="007505C4">
        <w:t>”</w:t>
      </w:r>
      <w:r w:rsidR="007505C4">
        <w:rPr>
          <w:rStyle w:val="FootnoteReference"/>
        </w:rPr>
        <w:footnoteReference w:id="48"/>
      </w:r>
      <w:r w:rsidR="00E1295A">
        <w:t xml:space="preserve">  This standard is, in practice, relatively lax, as the PTO initiates reexamination about 92% of the time.</w:t>
      </w:r>
      <w:bookmarkStart w:id="16" w:name="_Ref300404028"/>
      <w:r w:rsidR="00E1295A">
        <w:rPr>
          <w:rStyle w:val="FootnoteReference"/>
        </w:rPr>
        <w:footnoteReference w:id="49"/>
      </w:r>
      <w:bookmarkEnd w:id="16"/>
      <w:r w:rsidR="00E1295A">
        <w:t xml:space="preserve">  </w:t>
      </w:r>
      <w:r w:rsidR="00F33314">
        <w:t>(</w:t>
      </w:r>
      <w:r w:rsidR="000C5E0A">
        <w:t xml:space="preserve">In the </w:t>
      </w:r>
      <w:r w:rsidR="00F33314">
        <w:t>past two years, the PTO has received between 300 and 350 petitions for ex parte reexamination</w:t>
      </w:r>
      <w:r w:rsidR="00AF309C">
        <w:t xml:space="preserve"> per year</w:t>
      </w:r>
      <w:r w:rsidR="00F33314">
        <w:t>.</w:t>
      </w:r>
      <w:bookmarkStart w:id="17" w:name="_Ref431051967"/>
      <w:r w:rsidR="00F33314">
        <w:rPr>
          <w:rStyle w:val="FootnoteReference"/>
        </w:rPr>
        <w:footnoteReference w:id="50"/>
      </w:r>
      <w:bookmarkEnd w:id="17"/>
      <w:r w:rsidR="00F33314">
        <w:t xml:space="preserve">)  In a clear </w:t>
      </w:r>
      <w:r w:rsidR="000C5E0A">
        <w:t>majority</w:t>
      </w:r>
      <w:r w:rsidR="00F33314">
        <w:t xml:space="preserve"> of initiated proceedings (66%),</w:t>
      </w:r>
      <w:r w:rsidR="000C5E0A">
        <w:t xml:space="preserve"> the patent holder amends the challenged claims to preserve their validity</w:t>
      </w:r>
      <w:r w:rsidR="00386086">
        <w:t>.</w:t>
      </w:r>
      <w:r w:rsidR="00386086">
        <w:rPr>
          <w:rStyle w:val="FootnoteReference"/>
        </w:rPr>
        <w:footnoteReference w:id="51"/>
      </w:r>
      <w:r w:rsidR="00386086">
        <w:t xml:space="preserve">  I</w:t>
      </w:r>
      <w:r w:rsidR="000C5E0A">
        <w:t>n about a quarter of initiated proceedings (22%), the PTO confirms that all of the claims are patentable, without amendment.</w:t>
      </w:r>
      <w:r w:rsidR="000C5E0A">
        <w:rPr>
          <w:rStyle w:val="FootnoteReference"/>
        </w:rPr>
        <w:footnoteReference w:id="52"/>
      </w:r>
      <w:r w:rsidR="000C5E0A">
        <w:t xml:space="preserve">  Outright invalidation is rare in ex parte reexamination</w:t>
      </w:r>
      <w:r w:rsidR="0085219E">
        <w:t>.  T</w:t>
      </w:r>
      <w:r w:rsidR="00386086">
        <w:t xml:space="preserve">he PTO cancels all of the challenged claims </w:t>
      </w:r>
      <w:r w:rsidR="00F33314">
        <w:t xml:space="preserve">in </w:t>
      </w:r>
      <w:r w:rsidR="00386086">
        <w:t>only 12</w:t>
      </w:r>
      <w:r w:rsidR="000C5E0A">
        <w:t xml:space="preserve">% of </w:t>
      </w:r>
      <w:r w:rsidR="00F33314">
        <w:t>initiated proceedings</w:t>
      </w:r>
      <w:r w:rsidR="000C5E0A">
        <w:t>.</w:t>
      </w:r>
      <w:r w:rsidR="000C5E0A">
        <w:rPr>
          <w:rStyle w:val="FootnoteReference"/>
        </w:rPr>
        <w:footnoteReference w:id="53"/>
      </w:r>
      <w:r w:rsidR="009E0625">
        <w:t xml:space="preserve">  </w:t>
      </w:r>
      <w:r w:rsidR="007505C4">
        <w:t>Once the PTO deci</w:t>
      </w:r>
      <w:r w:rsidR="0060739F">
        <w:t xml:space="preserve">des to institute </w:t>
      </w:r>
      <w:r w:rsidR="00A87001">
        <w:t xml:space="preserve">ex parte </w:t>
      </w:r>
      <w:r w:rsidR="0060739F">
        <w:t>reexamination</w:t>
      </w:r>
      <w:r w:rsidR="007505C4">
        <w:t xml:space="preserve">, the </w:t>
      </w:r>
      <w:r w:rsidR="0060739F">
        <w:t>requester is excluded from the process and reexamination pr</w:t>
      </w:r>
      <w:r w:rsidR="007505C4">
        <w:t>oceeds in the same manner as prosecution of the original application</w:t>
      </w:r>
      <w:r w:rsidR="0060739F">
        <w:t>.</w:t>
      </w:r>
      <w:r w:rsidR="0060739F">
        <w:rPr>
          <w:rStyle w:val="FootnoteReference"/>
        </w:rPr>
        <w:footnoteReference w:id="54"/>
      </w:r>
      <w:r w:rsidR="00DF5602">
        <w:t xml:space="preserve">  Although there is wide </w:t>
      </w:r>
      <w:r w:rsidR="00DF5602">
        <w:lastRenderedPageBreak/>
        <w:t>variation from one case to another, ex parte reexamination is perceived as relatively slow, taking on average about two years to complete.</w:t>
      </w:r>
      <w:r w:rsidR="00DF5602">
        <w:rPr>
          <w:rStyle w:val="FootnoteReference"/>
        </w:rPr>
        <w:footnoteReference w:id="55"/>
      </w:r>
      <w:r w:rsidR="0083225A">
        <w:t xml:space="preserve"> </w:t>
      </w:r>
      <w:r w:rsidR="00A606A4">
        <w:t xml:space="preserve"> </w:t>
      </w:r>
    </w:p>
    <w:p w14:paraId="4D20E244" w14:textId="08957024" w:rsidR="003B56AB" w:rsidRDefault="00A87001" w:rsidP="009E0625">
      <w:pPr>
        <w:pStyle w:val="ListParagraph"/>
        <w:ind w:left="0"/>
        <w:jc w:val="both"/>
      </w:pPr>
      <w:r>
        <w:t>To give requesting parties the ability to play a more significant role</w:t>
      </w:r>
      <w:r w:rsidR="00F872D6">
        <w:t xml:space="preserve"> in post-issuance review</w:t>
      </w:r>
      <w:r>
        <w:t xml:space="preserve">, </w:t>
      </w:r>
      <w:r w:rsidR="006E2CDF">
        <w:t xml:space="preserve">Congress </w:t>
      </w:r>
      <w:r>
        <w:t>has created several post-issuance proceedings</w:t>
      </w:r>
      <w:r w:rsidR="00F872D6">
        <w:t xml:space="preserve"> in addition to ex parte </w:t>
      </w:r>
      <w:proofErr w:type="spellStart"/>
      <w:r w:rsidR="00F872D6">
        <w:t>reeexamination</w:t>
      </w:r>
      <w:proofErr w:type="spellEnd"/>
      <w:r w:rsidR="0083225A">
        <w:t>.  In 1999</w:t>
      </w:r>
      <w:r w:rsidR="005B0873">
        <w:t xml:space="preserve">, Congress created inter </w:t>
      </w:r>
      <w:proofErr w:type="spellStart"/>
      <w:r w:rsidR="005B0873">
        <w:t>partes</w:t>
      </w:r>
      <w:proofErr w:type="spellEnd"/>
      <w:r w:rsidR="005B0873">
        <w:t xml:space="preserve"> reexamination</w:t>
      </w:r>
      <w:r w:rsidR="00644976">
        <w:t>,</w:t>
      </w:r>
      <w:r w:rsidR="003C08A6">
        <w:t xml:space="preserve"> which has since evolved into the inter </w:t>
      </w:r>
      <w:proofErr w:type="spellStart"/>
      <w:r w:rsidR="003C08A6">
        <w:t>partes</w:t>
      </w:r>
      <w:proofErr w:type="spellEnd"/>
      <w:r w:rsidR="003C08A6">
        <w:t xml:space="preserve"> review proceeding discussed below</w:t>
      </w:r>
      <w:r w:rsidR="00F578AB" w:rsidRPr="00F578AB">
        <w:t>.</w:t>
      </w:r>
      <w:r w:rsidR="00DF14C2">
        <w:rPr>
          <w:rStyle w:val="FootnoteReference"/>
        </w:rPr>
        <w:footnoteReference w:id="56"/>
      </w:r>
      <w:r w:rsidR="002F277F">
        <w:t xml:space="preserve">  As with ex parte reexamination, Congress appeared to view inter </w:t>
      </w:r>
      <w:proofErr w:type="spellStart"/>
      <w:r w:rsidR="002F277F">
        <w:t>partes</w:t>
      </w:r>
      <w:proofErr w:type="spellEnd"/>
      <w:r w:rsidR="002F277F">
        <w:t xml:space="preserve"> </w:t>
      </w:r>
      <w:r w:rsidR="003C08A6">
        <w:t xml:space="preserve">reexamination </w:t>
      </w:r>
      <w:r w:rsidR="002F277F">
        <w:t>as</w:t>
      </w:r>
      <w:r w:rsidR="006C2B26">
        <w:t xml:space="preserve"> an alternative to litigation</w:t>
      </w:r>
      <w:r w:rsidR="00056B5B">
        <w:t>,</w:t>
      </w:r>
      <w:r w:rsidR="006C2B26">
        <w:t xml:space="preserve"> with the </w:t>
      </w:r>
      <w:r w:rsidR="008B0727">
        <w:t>House Conference</w:t>
      </w:r>
      <w:r w:rsidR="006C2B26">
        <w:t xml:space="preserve"> Committee report </w:t>
      </w:r>
      <w:r w:rsidR="00C958FF">
        <w:t>claim</w:t>
      </w:r>
      <w:r w:rsidR="00644976">
        <w:t>ing</w:t>
      </w:r>
      <w:r w:rsidR="00C958FF">
        <w:t xml:space="preserve"> it that would </w:t>
      </w:r>
      <w:r w:rsidR="002F277F">
        <w:t>“</w:t>
      </w:r>
      <w:proofErr w:type="gramStart"/>
      <w:r w:rsidR="002F277F">
        <w:t>reduce[</w:t>
      </w:r>
      <w:proofErr w:type="gramEnd"/>
      <w:r w:rsidR="002F277F">
        <w:t>]” “the volume of lawsuits in district courts.”</w:t>
      </w:r>
      <w:r w:rsidR="002F277F">
        <w:rPr>
          <w:rStyle w:val="FootnoteReference"/>
        </w:rPr>
        <w:footnoteReference w:id="57"/>
      </w:r>
      <w:r w:rsidR="002F277F">
        <w:t xml:space="preserve">  </w:t>
      </w:r>
      <w:r w:rsidR="005C551F">
        <w:t xml:space="preserve">In </w:t>
      </w:r>
      <w:r w:rsidR="002F277F">
        <w:t xml:space="preserve">inter </w:t>
      </w:r>
      <w:proofErr w:type="spellStart"/>
      <w:r w:rsidR="002F277F">
        <w:t>partes</w:t>
      </w:r>
      <w:proofErr w:type="spellEnd"/>
      <w:r w:rsidR="002F277F">
        <w:t xml:space="preserve"> reexamination, </w:t>
      </w:r>
      <w:r w:rsidR="00DF14C2">
        <w:t>the req</w:t>
      </w:r>
      <w:r w:rsidR="005B0873">
        <w:t xml:space="preserve">uester was allowed to file </w:t>
      </w:r>
      <w:r w:rsidR="00A073CA">
        <w:t xml:space="preserve">written </w:t>
      </w:r>
      <w:r w:rsidR="005B0873">
        <w:t xml:space="preserve">submissions each time </w:t>
      </w:r>
      <w:r w:rsidR="005C551F">
        <w:t>the patent owner responded to a PTO</w:t>
      </w:r>
      <w:r w:rsidR="005B0873">
        <w:t xml:space="preserve"> office action.</w:t>
      </w:r>
      <w:r w:rsidR="00DF14C2">
        <w:rPr>
          <w:rStyle w:val="FootnoteReference"/>
        </w:rPr>
        <w:footnoteReference w:id="58"/>
      </w:r>
      <w:r w:rsidR="005B0873">
        <w:t xml:space="preserve">  </w:t>
      </w:r>
    </w:p>
    <w:p w14:paraId="576E26F8" w14:textId="3F1B1348" w:rsidR="006B0EBF" w:rsidRDefault="005C551F" w:rsidP="006E2CDF">
      <w:pPr>
        <w:pStyle w:val="ListParagraph"/>
        <w:ind w:left="0"/>
        <w:jc w:val="both"/>
      </w:pPr>
      <w:r>
        <w:t xml:space="preserve">Most participants in the patent system initially ignored inter </w:t>
      </w:r>
      <w:proofErr w:type="spellStart"/>
      <w:r>
        <w:t>partes</w:t>
      </w:r>
      <w:proofErr w:type="spellEnd"/>
      <w:r>
        <w:t xml:space="preserve"> reexamination,</w:t>
      </w:r>
      <w:r w:rsidR="00EB2992">
        <w:t xml:space="preserve"> </w:t>
      </w:r>
      <w:r w:rsidR="00A073CA">
        <w:t xml:space="preserve">due </w:t>
      </w:r>
      <w:r w:rsidR="00F872D6">
        <w:t>in part to the</w:t>
      </w:r>
      <w:r w:rsidR="00A073CA">
        <w:t xml:space="preserve"> limited nature of the patent challenger’s right to participate and</w:t>
      </w:r>
      <w:r w:rsidR="00EB2992">
        <w:t xml:space="preserve"> </w:t>
      </w:r>
      <w:r w:rsidR="00F872D6">
        <w:t xml:space="preserve">to </w:t>
      </w:r>
      <w:r w:rsidR="00EB2992">
        <w:t xml:space="preserve">estoppel provisions that required challengers to, essentially, choose to litigate validity either through </w:t>
      </w:r>
      <w:r w:rsidR="00896D39">
        <w:t xml:space="preserve">inter </w:t>
      </w:r>
      <w:proofErr w:type="spellStart"/>
      <w:r w:rsidR="00896D39">
        <w:t>partes</w:t>
      </w:r>
      <w:proofErr w:type="spellEnd"/>
      <w:r w:rsidR="00896D39">
        <w:t xml:space="preserve"> </w:t>
      </w:r>
      <w:r w:rsidR="00EB2992">
        <w:t xml:space="preserve">reexamination </w:t>
      </w:r>
      <w:r w:rsidR="00896D39">
        <w:t>o</w:t>
      </w:r>
      <w:r w:rsidR="00EB2992">
        <w:t xml:space="preserve">r in </w:t>
      </w:r>
      <w:r w:rsidR="00896D39">
        <w:t xml:space="preserve">infringement </w:t>
      </w:r>
      <w:r w:rsidR="00EB2992">
        <w:t>litigation in court.</w:t>
      </w:r>
      <w:r w:rsidR="00EB2992">
        <w:rPr>
          <w:rStyle w:val="FootnoteReference"/>
        </w:rPr>
        <w:footnoteReference w:id="59"/>
      </w:r>
      <w:r w:rsidR="00EB2992">
        <w:t xml:space="preserve">  </w:t>
      </w:r>
      <w:r w:rsidR="00896D39">
        <w:t>(</w:t>
      </w:r>
      <w:r w:rsidR="007A640E">
        <w:t xml:space="preserve">By </w:t>
      </w:r>
      <w:r w:rsidR="00EB2992">
        <w:t>c</w:t>
      </w:r>
      <w:r w:rsidR="007A640E">
        <w:t>ontrast, ex parte reexamination decisions have no estoppel effects on the requester, which allows the requester to raise similar arguments both at the PTO and in litigation.</w:t>
      </w:r>
      <w:r w:rsidR="007A640E">
        <w:rPr>
          <w:rStyle w:val="FootnoteReference"/>
        </w:rPr>
        <w:footnoteReference w:id="60"/>
      </w:r>
      <w:r w:rsidR="00896D39">
        <w:t>)</w:t>
      </w:r>
      <w:r w:rsidR="00EB2992">
        <w:t xml:space="preserve"> </w:t>
      </w:r>
      <w:r>
        <w:t xml:space="preserve"> </w:t>
      </w:r>
      <w:r w:rsidR="007A640E">
        <w:t>Although initially ignored,</w:t>
      </w:r>
      <w:r w:rsidR="00EB2992">
        <w:t xml:space="preserve"> inter </w:t>
      </w:r>
      <w:proofErr w:type="spellStart"/>
      <w:r w:rsidR="00EB2992">
        <w:t>partes</w:t>
      </w:r>
      <w:proofErr w:type="spellEnd"/>
      <w:r w:rsidR="00EB2992">
        <w:t xml:space="preserve"> reexamination</w:t>
      </w:r>
      <w:r w:rsidR="006D0EA3">
        <w:t xml:space="preserve"> was gaining popularity until 2011,</w:t>
      </w:r>
      <w:bookmarkStart w:id="18" w:name="_Ref300404206"/>
      <w:r w:rsidR="002F277F">
        <w:rPr>
          <w:rStyle w:val="FootnoteReference"/>
        </w:rPr>
        <w:footnoteReference w:id="61"/>
      </w:r>
      <w:bookmarkEnd w:id="18"/>
      <w:r w:rsidR="006D0EA3">
        <w:t xml:space="preserve"> when </w:t>
      </w:r>
      <w:r w:rsidR="005A3D0C">
        <w:t>Congress passed the America Invents Act</w:t>
      </w:r>
      <w:r w:rsidR="00240B7E">
        <w:t xml:space="preserve"> (AIA)</w:t>
      </w:r>
      <w:r w:rsidR="00056B5B">
        <w:t xml:space="preserve">.  The AIA </w:t>
      </w:r>
      <w:r w:rsidR="006D0EA3">
        <w:t xml:space="preserve">replaced inter </w:t>
      </w:r>
      <w:proofErr w:type="spellStart"/>
      <w:r w:rsidR="006D0EA3">
        <w:t>p</w:t>
      </w:r>
      <w:r w:rsidR="003C08A6">
        <w:t>artes</w:t>
      </w:r>
      <w:proofErr w:type="spellEnd"/>
      <w:r w:rsidR="003C08A6">
        <w:t xml:space="preserve"> reexamination with inter </w:t>
      </w:r>
      <w:proofErr w:type="spellStart"/>
      <w:r w:rsidR="003C08A6">
        <w:t>partes</w:t>
      </w:r>
      <w:proofErr w:type="spellEnd"/>
      <w:r w:rsidR="003C08A6">
        <w:t xml:space="preserve"> review </w:t>
      </w:r>
      <w:r w:rsidR="002F277F">
        <w:t xml:space="preserve">and created two new </w:t>
      </w:r>
      <w:r w:rsidR="008B0727">
        <w:t xml:space="preserve">post-issuance </w:t>
      </w:r>
      <w:r w:rsidR="002F277F">
        <w:t>proceedings, post-grant review and a transitional review program for business method patents.</w:t>
      </w:r>
    </w:p>
    <w:p w14:paraId="18521B6D" w14:textId="2B5B1AF6" w:rsidR="0013636F" w:rsidRDefault="00756EC1" w:rsidP="00296609">
      <w:pPr>
        <w:pStyle w:val="ListParagraph"/>
        <w:ind w:left="0"/>
        <w:jc w:val="both"/>
      </w:pPr>
      <w:r w:rsidRPr="00856755">
        <w:lastRenderedPageBreak/>
        <w:t>Similar</w:t>
      </w:r>
      <w:r>
        <w:t xml:space="preserve"> to reexamination, e</w:t>
      </w:r>
      <w:r w:rsidR="00DC108D">
        <w:t xml:space="preserve">ach of the </w:t>
      </w:r>
      <w:r w:rsidR="004801D2">
        <w:t xml:space="preserve">new AIA </w:t>
      </w:r>
      <w:r w:rsidR="00DC108D">
        <w:t>proce</w:t>
      </w:r>
      <w:r w:rsidR="004801D2">
        <w:t>edings begins when a petitioner (</w:t>
      </w:r>
      <w:r w:rsidR="003A20F8">
        <w:t>usually</w:t>
      </w:r>
      <w:r w:rsidR="00DC108D">
        <w:t xml:space="preserve"> a defendant in a patent infringement lawsuit</w:t>
      </w:r>
      <w:r w:rsidR="004801D2">
        <w:t>)</w:t>
      </w:r>
      <w:r w:rsidR="00DC108D">
        <w:t xml:space="preserve"> </w:t>
      </w:r>
      <w:r w:rsidR="00C958FF">
        <w:t>asks</w:t>
      </w:r>
      <w:r w:rsidR="00DC108D">
        <w:t xml:space="preserve"> the PTO to invalidate one or more patent claims.</w:t>
      </w:r>
      <w:r w:rsidR="004801D2">
        <w:rPr>
          <w:rStyle w:val="FootnoteReference"/>
        </w:rPr>
        <w:footnoteReference w:id="62"/>
      </w:r>
      <w:r>
        <w:t xml:space="preserve">  Rather than being </w:t>
      </w:r>
      <w:r w:rsidR="0013636F">
        <w:t>considered by</w:t>
      </w:r>
      <w:r>
        <w:t xml:space="preserve"> a single examiner, as is the case with </w:t>
      </w:r>
      <w:r w:rsidR="009E0625">
        <w:t>a r</w:t>
      </w:r>
      <w:r>
        <w:t xml:space="preserve">eexamination request, </w:t>
      </w:r>
      <w:r w:rsidR="00E661C4">
        <w:t>AIA proceedings</w:t>
      </w:r>
      <w:r>
        <w:t xml:space="preserve"> are </w:t>
      </w:r>
      <w:r w:rsidR="0013636F">
        <w:t xml:space="preserve">considered by </w:t>
      </w:r>
      <w:r>
        <w:t>a panel of three administrative patent judges on the Patent Trial and Appeal Board (PTAB)</w:t>
      </w:r>
      <w:r w:rsidR="00E661C4">
        <w:t>, which the AIA also created</w:t>
      </w:r>
      <w:r>
        <w:t>.</w:t>
      </w:r>
      <w:r w:rsidR="004801D2">
        <w:rPr>
          <w:rStyle w:val="FootnoteReference"/>
        </w:rPr>
        <w:footnoteReference w:id="63"/>
      </w:r>
      <w:r w:rsidR="0013636F">
        <w:t xml:space="preserve">  The new AIA proceedings ar</w:t>
      </w:r>
      <w:r w:rsidR="009E0625">
        <w:t xml:space="preserve">e more </w:t>
      </w:r>
      <w:r w:rsidR="009C7323">
        <w:t>litigation</w:t>
      </w:r>
      <w:r w:rsidR="009E0625">
        <w:t xml:space="preserve">-like than </w:t>
      </w:r>
      <w:r w:rsidR="0013636F">
        <w:t xml:space="preserve">reexamination.  </w:t>
      </w:r>
      <w:r w:rsidR="0085219E">
        <w:t>Not only is the patent challenger allowed to make written submissions throughout the process,</w:t>
      </w:r>
      <w:r w:rsidR="009E0625">
        <w:t xml:space="preserve"> once the PTAB grants a petition for review,</w:t>
      </w:r>
      <w:r w:rsidR="0013636F">
        <w:t xml:space="preserve"> the parties are entitled to </w:t>
      </w:r>
      <w:r w:rsidR="009C7323">
        <w:t xml:space="preserve">(limited) </w:t>
      </w:r>
      <w:r w:rsidR="0013636F">
        <w:t>discovery and to an oral hearing.</w:t>
      </w:r>
      <w:r w:rsidR="0013636F">
        <w:rPr>
          <w:rStyle w:val="FootnoteReference"/>
        </w:rPr>
        <w:footnoteReference w:id="64"/>
      </w:r>
      <w:r w:rsidR="00DF5602">
        <w:t xml:space="preserve">  And the proceedings are designed to conclude relatively quickly, in most cases within one year of the PTAB’s decision to institute proceedings.</w:t>
      </w:r>
      <w:r w:rsidR="00DF5602">
        <w:rPr>
          <w:rStyle w:val="FootnoteReference"/>
        </w:rPr>
        <w:footnoteReference w:id="65"/>
      </w:r>
      <w:r>
        <w:t xml:space="preserve">  </w:t>
      </w:r>
    </w:p>
    <w:p w14:paraId="420E714B" w14:textId="4EA437F4" w:rsidR="00756EC1" w:rsidRDefault="00C958FF" w:rsidP="004D5FB8">
      <w:pPr>
        <w:pStyle w:val="ListParagraph"/>
        <w:ind w:left="0"/>
        <w:jc w:val="both"/>
      </w:pPr>
      <w:r>
        <w:t>Although t</w:t>
      </w:r>
      <w:r w:rsidR="00756EC1">
        <w:t xml:space="preserve">he </w:t>
      </w:r>
      <w:r w:rsidR="00E661C4">
        <w:t xml:space="preserve">three new </w:t>
      </w:r>
      <w:r w:rsidR="008B0727">
        <w:t>proceedings</w:t>
      </w:r>
      <w:r w:rsidR="00856755">
        <w:t xml:space="preserve"> created by the AIA are similar in many ways, there are distinctions.</w:t>
      </w:r>
      <w:r w:rsidR="005614CC">
        <w:t xml:space="preserve">  </w:t>
      </w:r>
      <w:r w:rsidR="00736FC3">
        <w:t>The first proceeding, p</w:t>
      </w:r>
      <w:r w:rsidR="003A20F8">
        <w:t>ost-grant review</w:t>
      </w:r>
      <w:r>
        <w:t>,</w:t>
      </w:r>
      <w:r w:rsidR="003A20F8">
        <w:t xml:space="preserve"> </w:t>
      </w:r>
      <w:r w:rsidR="00756EC1">
        <w:t xml:space="preserve">is available only for patents with a filing </w:t>
      </w:r>
      <w:r w:rsidR="00896D39">
        <w:t>date on or after March 16, 2013.</w:t>
      </w:r>
      <w:r w:rsidR="004A4341">
        <w:rPr>
          <w:rStyle w:val="FootnoteReference"/>
        </w:rPr>
        <w:footnoteReference w:id="66"/>
      </w:r>
      <w:r w:rsidR="00896D39">
        <w:t xml:space="preserve">  A</w:t>
      </w:r>
      <w:r w:rsidR="00756EC1">
        <w:t xml:space="preserve"> petition for </w:t>
      </w:r>
      <w:r w:rsidR="003A20F8">
        <w:t>post-grant review</w:t>
      </w:r>
      <w:r w:rsidR="00756EC1">
        <w:t xml:space="preserve"> must be filed within nine months after the patent issues.</w:t>
      </w:r>
      <w:bookmarkStart w:id="19" w:name="_Ref300404008"/>
      <w:r w:rsidR="004A4341">
        <w:rPr>
          <w:rStyle w:val="FootnoteReference"/>
        </w:rPr>
        <w:footnoteReference w:id="67"/>
      </w:r>
      <w:bookmarkEnd w:id="19"/>
      <w:r w:rsidR="00756EC1">
        <w:t xml:space="preserve">  </w:t>
      </w:r>
      <w:r w:rsidR="00896D39">
        <w:t>Unlike in ex parte reexamination, where invalidity arguments can be based only on prior patents or printed publications, a</w:t>
      </w:r>
      <w:r w:rsidR="0047101A">
        <w:t xml:space="preserve"> challenger in </w:t>
      </w:r>
      <w:r w:rsidR="003A20F8">
        <w:t>post-grant review</w:t>
      </w:r>
      <w:r w:rsidR="0047101A">
        <w:t xml:space="preserve"> </w:t>
      </w:r>
      <w:r w:rsidR="00E46853">
        <w:t xml:space="preserve">can raise any invalidity argument it could raise </w:t>
      </w:r>
      <w:r w:rsidR="00856755">
        <w:t xml:space="preserve">as </w:t>
      </w:r>
      <w:r w:rsidR="00E46853">
        <w:t>a defense in an infringement suit</w:t>
      </w:r>
      <w:r w:rsidR="00756EC1">
        <w:t>.</w:t>
      </w:r>
      <w:r w:rsidR="004A4341">
        <w:rPr>
          <w:rStyle w:val="FootnoteReference"/>
        </w:rPr>
        <w:footnoteReference w:id="68"/>
      </w:r>
      <w:r w:rsidR="00DC1F20">
        <w:t xml:space="preserve">  </w:t>
      </w:r>
      <w:r w:rsidR="00856755">
        <w:t>The AIA, however, sets a relatively high bar</w:t>
      </w:r>
      <w:r w:rsidR="00DC1F20">
        <w:t xml:space="preserve"> for initiating </w:t>
      </w:r>
      <w:r w:rsidR="003A20F8">
        <w:t>post-grant review</w:t>
      </w:r>
      <w:r w:rsidR="00DC1F20">
        <w:t>, providing that t</w:t>
      </w:r>
      <w:r w:rsidR="00756EC1">
        <w:t xml:space="preserve">he </w:t>
      </w:r>
      <w:r w:rsidR="00E46853">
        <w:t xml:space="preserve">PTAB </w:t>
      </w:r>
      <w:r w:rsidR="00856755">
        <w:t>may</w:t>
      </w:r>
      <w:r w:rsidR="00E46853">
        <w:t xml:space="preserve"> </w:t>
      </w:r>
      <w:r w:rsidR="004B2A23">
        <w:t>institute</w:t>
      </w:r>
      <w:r w:rsidR="00E46853">
        <w:t xml:space="preserve"> </w:t>
      </w:r>
      <w:r w:rsidR="003A20F8">
        <w:t>proceedings</w:t>
      </w:r>
      <w:r w:rsidR="00E46853">
        <w:t xml:space="preserve"> </w:t>
      </w:r>
      <w:r w:rsidR="00856755">
        <w:t xml:space="preserve">only </w:t>
      </w:r>
      <w:r w:rsidR="00E46853">
        <w:t>if</w:t>
      </w:r>
      <w:r w:rsidR="007A73F0">
        <w:t>, based on the materials presented in the petition and in the patent holder’s response to the petition,</w:t>
      </w:r>
      <w:r w:rsidR="00E46853">
        <w:t xml:space="preserve"> </w:t>
      </w:r>
      <w:r w:rsidR="007A73F0">
        <w:t>the PTAB believes it</w:t>
      </w:r>
      <w:r w:rsidR="00856755">
        <w:t xml:space="preserve"> is “more likely than not” that a challenged claim is </w:t>
      </w:r>
      <w:proofErr w:type="spellStart"/>
      <w:r w:rsidR="00856755">
        <w:t>unpatentable</w:t>
      </w:r>
      <w:proofErr w:type="spellEnd"/>
      <w:r w:rsidR="00E46853">
        <w:t>.</w:t>
      </w:r>
      <w:r w:rsidR="004A4341">
        <w:rPr>
          <w:rStyle w:val="FootnoteReference"/>
        </w:rPr>
        <w:footnoteReference w:id="69"/>
      </w:r>
      <w:r w:rsidR="00756EC1">
        <w:t xml:space="preserve">  </w:t>
      </w:r>
      <w:r w:rsidR="00C75064">
        <w:t>Because the PTO has yet to issue many patents with filing dates on or after March 16, 2013, few post-grant review petitions have been filed to date.</w:t>
      </w:r>
      <w:bookmarkStart w:id="20" w:name="_Ref431200469"/>
      <w:r w:rsidR="00C75064">
        <w:rPr>
          <w:rStyle w:val="FootnoteReference"/>
        </w:rPr>
        <w:footnoteReference w:id="70"/>
      </w:r>
      <w:bookmarkEnd w:id="20"/>
      <w:r w:rsidR="00C75064">
        <w:t xml:space="preserve">  </w:t>
      </w:r>
    </w:p>
    <w:p w14:paraId="5362E0F0" w14:textId="5F65FE12" w:rsidR="00FB4870" w:rsidRDefault="00736FC3" w:rsidP="004D5FB8">
      <w:pPr>
        <w:pStyle w:val="ListParagraph"/>
        <w:ind w:left="0"/>
        <w:jc w:val="both"/>
      </w:pPr>
      <w:r>
        <w:lastRenderedPageBreak/>
        <w:t>The second new proceeding, i</w:t>
      </w:r>
      <w:r w:rsidR="00756EC1" w:rsidRPr="00EB7993">
        <w:t xml:space="preserve">nter </w:t>
      </w:r>
      <w:proofErr w:type="spellStart"/>
      <w:r w:rsidR="00756EC1" w:rsidRPr="00EB7993">
        <w:t>partes</w:t>
      </w:r>
      <w:proofErr w:type="spellEnd"/>
      <w:r w:rsidR="00756EC1">
        <w:t xml:space="preserve"> review</w:t>
      </w:r>
      <w:r w:rsidR="003A20F8">
        <w:t xml:space="preserve">, </w:t>
      </w:r>
      <w:r>
        <w:t xml:space="preserve">is </w:t>
      </w:r>
      <w:r w:rsidR="003A20F8">
        <w:t xml:space="preserve">the successor </w:t>
      </w:r>
      <w:r w:rsidR="00056B5B">
        <w:t>to</w:t>
      </w:r>
      <w:r>
        <w:t xml:space="preserve"> inter </w:t>
      </w:r>
      <w:proofErr w:type="spellStart"/>
      <w:r>
        <w:t>partes</w:t>
      </w:r>
      <w:proofErr w:type="spellEnd"/>
      <w:r>
        <w:t xml:space="preserve"> reexamination</w:t>
      </w:r>
      <w:r w:rsidR="007A3768">
        <w:t xml:space="preserve"> and is currently the most popular post-issuance proceeding at the PTO</w:t>
      </w:r>
      <w:r>
        <w:t>.</w:t>
      </w:r>
      <w:bookmarkStart w:id="21" w:name="_Ref304631074"/>
      <w:r w:rsidR="007A3768">
        <w:rPr>
          <w:rStyle w:val="FootnoteReference"/>
        </w:rPr>
        <w:footnoteReference w:id="71"/>
      </w:r>
      <w:bookmarkEnd w:id="21"/>
      <w:r>
        <w:t xml:space="preserve">  </w:t>
      </w:r>
      <w:r w:rsidR="00644976">
        <w:t xml:space="preserve">Inter </w:t>
      </w:r>
      <w:proofErr w:type="spellStart"/>
      <w:r w:rsidR="00644976">
        <w:t>partes</w:t>
      </w:r>
      <w:proofErr w:type="spellEnd"/>
      <w:r w:rsidR="00644976">
        <w:t xml:space="preserve"> review</w:t>
      </w:r>
      <w:r w:rsidR="00756EC1">
        <w:t xml:space="preserve"> can be sought for any patent for which </w:t>
      </w:r>
      <w:r w:rsidR="003A20F8">
        <w:t>post-grant review</w:t>
      </w:r>
      <w:r w:rsidR="00756EC1">
        <w:t xml:space="preserve"> is not available</w:t>
      </w:r>
      <w:r w:rsidR="00696C35">
        <w:t xml:space="preserve">, </w:t>
      </w:r>
      <w:r w:rsidR="003A20F8">
        <w:t xml:space="preserve">meaning patents that either </w:t>
      </w:r>
      <w:r w:rsidR="00696C35">
        <w:t xml:space="preserve">have a filing date before March 16, 2013 </w:t>
      </w:r>
      <w:r w:rsidR="003A20F8">
        <w:t xml:space="preserve">or </w:t>
      </w:r>
      <w:r w:rsidR="00696C35">
        <w:t xml:space="preserve">have a filing date on or after March 16, 2013 but for which the nine-month window for </w:t>
      </w:r>
      <w:r w:rsidR="003A20F8">
        <w:t>post-grant review</w:t>
      </w:r>
      <w:r w:rsidR="00696C35">
        <w:t xml:space="preserve"> has expired</w:t>
      </w:r>
      <w:r w:rsidR="00756EC1">
        <w:t>.</w:t>
      </w:r>
      <w:r w:rsidR="00856755">
        <w:rPr>
          <w:rStyle w:val="FootnoteReference"/>
        </w:rPr>
        <w:footnoteReference w:id="72"/>
      </w:r>
      <w:r w:rsidR="00756EC1">
        <w:t xml:space="preserve">  </w:t>
      </w:r>
      <w:r w:rsidR="003A20F8">
        <w:t>T</w:t>
      </w:r>
      <w:r w:rsidR="00C645B3">
        <w:t xml:space="preserve">he prior art in </w:t>
      </w:r>
      <w:r w:rsidR="003A20F8">
        <w:t xml:space="preserve">inter </w:t>
      </w:r>
      <w:proofErr w:type="spellStart"/>
      <w:r w:rsidR="003A20F8">
        <w:t>partes</w:t>
      </w:r>
      <w:proofErr w:type="spellEnd"/>
      <w:r w:rsidR="003A20F8">
        <w:t xml:space="preserve"> review</w:t>
      </w:r>
      <w:r w:rsidR="00C645B3">
        <w:t xml:space="preserve"> is</w:t>
      </w:r>
      <w:r w:rsidR="00696C35">
        <w:t>, like in ex parte reexamination,</w:t>
      </w:r>
      <w:r w:rsidR="00C645B3">
        <w:t xml:space="preserve"> limited to prior patents and printed publications</w:t>
      </w:r>
      <w:r w:rsidR="003A20F8">
        <w:t>,</w:t>
      </w:r>
      <w:r w:rsidR="00696C35">
        <w:rPr>
          <w:rStyle w:val="FootnoteReference"/>
        </w:rPr>
        <w:footnoteReference w:id="73"/>
      </w:r>
      <w:r w:rsidR="003A20F8">
        <w:t xml:space="preserve"> and </w:t>
      </w:r>
      <w:r w:rsidR="00C645B3">
        <w:t xml:space="preserve">the only grounds for invalidity that the </w:t>
      </w:r>
      <w:r w:rsidR="00696C35">
        <w:t>petitioner</w:t>
      </w:r>
      <w:r w:rsidR="00C645B3">
        <w:t xml:space="preserve"> may argue are anticipation and obviousness.</w:t>
      </w:r>
      <w:bookmarkStart w:id="22" w:name="_Ref304712164"/>
      <w:r w:rsidR="00C645B3">
        <w:rPr>
          <w:rStyle w:val="FootnoteReference"/>
        </w:rPr>
        <w:footnoteReference w:id="74"/>
      </w:r>
      <w:bookmarkEnd w:id="22"/>
      <w:r w:rsidR="00756EC1">
        <w:t xml:space="preserve">  </w:t>
      </w:r>
      <w:r w:rsidR="00856755">
        <w:t>Also</w:t>
      </w:r>
      <w:r w:rsidR="00696C35">
        <w:t>, i</w:t>
      </w:r>
      <w:r w:rsidR="00756EC1">
        <w:t xml:space="preserve">f the petitioner is </w:t>
      </w:r>
      <w:r w:rsidR="00C75064">
        <w:t xml:space="preserve">a </w:t>
      </w:r>
      <w:r w:rsidR="00756EC1">
        <w:t xml:space="preserve">defendant in a patent infringement lawsuit, the petitioner must seek </w:t>
      </w:r>
      <w:r w:rsidR="003A20F8">
        <w:t>review</w:t>
      </w:r>
      <w:r w:rsidR="00756EC1">
        <w:t xml:space="preserve"> </w:t>
      </w:r>
      <w:r w:rsidR="00696C35">
        <w:t xml:space="preserve">of the allegedly infringed patent </w:t>
      </w:r>
      <w:r w:rsidR="00756EC1">
        <w:t xml:space="preserve">within one year of </w:t>
      </w:r>
      <w:r w:rsidR="0029224B">
        <w:t>service</w:t>
      </w:r>
      <w:r w:rsidR="00756EC1">
        <w:t xml:space="preserve"> of the complaint.</w:t>
      </w:r>
      <w:r w:rsidR="0029224B">
        <w:rPr>
          <w:rStyle w:val="FootnoteReference"/>
        </w:rPr>
        <w:footnoteReference w:id="75"/>
      </w:r>
      <w:r w:rsidR="00856755">
        <w:t xml:space="preserve">  The standard for instituting inter </w:t>
      </w:r>
      <w:proofErr w:type="spellStart"/>
      <w:r w:rsidR="00856755">
        <w:t>partes</w:t>
      </w:r>
      <w:proofErr w:type="spellEnd"/>
      <w:r w:rsidR="00856755">
        <w:t xml:space="preserve"> review is higher than the “substantial new question of patentability” standard of ex parte reexamination, but lower than the “more likely than not” </w:t>
      </w:r>
      <w:proofErr w:type="spellStart"/>
      <w:r w:rsidR="00856755">
        <w:t>unpatentable</w:t>
      </w:r>
      <w:proofErr w:type="spellEnd"/>
      <w:r w:rsidR="00856755">
        <w:t xml:space="preserve"> standard of post-grant review.  Specifically, the PTAB</w:t>
      </w:r>
      <w:r w:rsidR="00F47A90">
        <w:t xml:space="preserve"> will institute </w:t>
      </w:r>
      <w:r w:rsidR="00624423">
        <w:t xml:space="preserve">inter </w:t>
      </w:r>
      <w:proofErr w:type="spellStart"/>
      <w:r w:rsidR="00624423">
        <w:t>partes</w:t>
      </w:r>
      <w:proofErr w:type="spellEnd"/>
      <w:r w:rsidR="00624423">
        <w:t xml:space="preserve"> review</w:t>
      </w:r>
      <w:r w:rsidR="00F47A90">
        <w:t xml:space="preserve"> if it determines “there is a reasonable likelihood that the petitioner would prevail</w:t>
      </w:r>
      <w:r w:rsidR="00856755">
        <w:t>”</w:t>
      </w:r>
      <w:r w:rsidR="00F47A90">
        <w:t xml:space="preserve"> with respect to at least </w:t>
      </w:r>
      <w:r w:rsidR="00856755">
        <w:t>one</w:t>
      </w:r>
      <w:r w:rsidR="00F47A90">
        <w:t xml:space="preserve"> of the </w:t>
      </w:r>
      <w:r w:rsidR="00856755">
        <w:t xml:space="preserve">challenged </w:t>
      </w:r>
      <w:r w:rsidR="007A3768">
        <w:t xml:space="preserve">patent </w:t>
      </w:r>
      <w:r w:rsidR="00856755">
        <w:t>claims.</w:t>
      </w:r>
      <w:r w:rsidR="00F47A90">
        <w:rPr>
          <w:rStyle w:val="FootnoteReference"/>
        </w:rPr>
        <w:footnoteReference w:id="76"/>
      </w:r>
      <w:r w:rsidR="00644976">
        <w:t xml:space="preserve">  </w:t>
      </w:r>
      <w:r w:rsidR="00D4509F">
        <w:t xml:space="preserve">Unlike ex parte reexamination, which is instituted over ninety percent of the time, </w:t>
      </w:r>
      <w:r w:rsidR="00644976">
        <w:t xml:space="preserve">the PTAB </w:t>
      </w:r>
      <w:r w:rsidR="002F3D26">
        <w:t>has</w:t>
      </w:r>
      <w:r w:rsidR="00D70F51">
        <w:t>,</w:t>
      </w:r>
      <w:r w:rsidR="00D4509F">
        <w:t xml:space="preserve"> to date</w:t>
      </w:r>
      <w:r w:rsidR="00D70F51">
        <w:t>,</w:t>
      </w:r>
      <w:r w:rsidR="002F3D26">
        <w:t xml:space="preserve"> </w:t>
      </w:r>
      <w:r w:rsidR="00644976">
        <w:t xml:space="preserve">granted </w:t>
      </w:r>
      <w:r w:rsidR="002F3D26">
        <w:t>just fewer than half</w:t>
      </w:r>
      <w:r w:rsidR="00644976">
        <w:t xml:space="preserve"> </w:t>
      </w:r>
      <w:r w:rsidR="00D4509F">
        <w:t xml:space="preserve">of </w:t>
      </w:r>
      <w:r w:rsidR="00F33314">
        <w:t>all</w:t>
      </w:r>
      <w:r w:rsidR="00C75064">
        <w:t xml:space="preserve"> </w:t>
      </w:r>
      <w:r w:rsidR="00644976">
        <w:t xml:space="preserve">requests to institute inter </w:t>
      </w:r>
      <w:proofErr w:type="spellStart"/>
      <w:r w:rsidR="00644976">
        <w:t>partes</w:t>
      </w:r>
      <w:proofErr w:type="spellEnd"/>
      <w:r w:rsidR="00644976">
        <w:t xml:space="preserve"> review</w:t>
      </w:r>
      <w:r w:rsidR="004E0EAB">
        <w:t xml:space="preserve"> (</w:t>
      </w:r>
      <w:r w:rsidR="00F31639">
        <w:t>889</w:t>
      </w:r>
      <w:r w:rsidR="004E0EAB">
        <w:t xml:space="preserve"> of </w:t>
      </w:r>
      <w:r w:rsidR="00F31639">
        <w:t>1901</w:t>
      </w:r>
      <w:r w:rsidR="004E0EAB">
        <w:t>)</w:t>
      </w:r>
      <w:r w:rsidR="009E0625">
        <w:t>, with another twenty-one percent of petitions (</w:t>
      </w:r>
      <w:r w:rsidR="00F31639">
        <w:t>394</w:t>
      </w:r>
      <w:r w:rsidR="009E0625">
        <w:t xml:space="preserve"> of </w:t>
      </w:r>
      <w:r w:rsidR="00F31639">
        <w:t>1901</w:t>
      </w:r>
      <w:r w:rsidR="009E0625">
        <w:t xml:space="preserve">) </w:t>
      </w:r>
      <w:r w:rsidR="005B4A18">
        <w:t>settling before the PTAB decided</w:t>
      </w:r>
      <w:r w:rsidR="009E0625">
        <w:t xml:space="preserve"> whether to institute proceedings</w:t>
      </w:r>
      <w:r w:rsidR="00644976">
        <w:t>.</w:t>
      </w:r>
      <w:bookmarkStart w:id="23" w:name="_Ref300404046"/>
      <w:r w:rsidR="002F3D26">
        <w:rPr>
          <w:rStyle w:val="FootnoteReference"/>
        </w:rPr>
        <w:footnoteReference w:id="77"/>
      </w:r>
      <w:bookmarkEnd w:id="23"/>
      <w:r w:rsidR="004E0EAB">
        <w:t xml:space="preserve">  </w:t>
      </w:r>
      <w:r w:rsidR="00D4509F">
        <w:t xml:space="preserve">Inter </w:t>
      </w:r>
      <w:proofErr w:type="spellStart"/>
      <w:r w:rsidR="00D4509F">
        <w:t>partes</w:t>
      </w:r>
      <w:proofErr w:type="spellEnd"/>
      <w:r w:rsidR="00D4509F">
        <w:t xml:space="preserve"> review is, however, far more deadly than ex parte reexamination, as t</w:t>
      </w:r>
      <w:r w:rsidR="009C2DE5">
        <w:t xml:space="preserve">he PTAB has held all of the instituted claims </w:t>
      </w:r>
      <w:proofErr w:type="spellStart"/>
      <w:r w:rsidR="009C2DE5">
        <w:t>unpatentable</w:t>
      </w:r>
      <w:proofErr w:type="spellEnd"/>
      <w:r w:rsidR="009C2DE5">
        <w:t xml:space="preserve"> in </w:t>
      </w:r>
      <w:r w:rsidR="009C2DE5">
        <w:lastRenderedPageBreak/>
        <w:t>roughly two-thirds of proceedings that have reached a final decision</w:t>
      </w:r>
      <w:r w:rsidR="004E0EAB">
        <w:t xml:space="preserve"> (</w:t>
      </w:r>
      <w:r w:rsidR="00F31639">
        <w:t>327</w:t>
      </w:r>
      <w:r w:rsidR="004E0EAB">
        <w:t xml:space="preserve"> of </w:t>
      </w:r>
      <w:r w:rsidR="00F31639">
        <w:t>482</w:t>
      </w:r>
      <w:r w:rsidR="004E0EAB">
        <w:t>)</w:t>
      </w:r>
      <w:r w:rsidR="009C2DE5">
        <w:t>.</w:t>
      </w:r>
      <w:bookmarkStart w:id="24" w:name="_Ref304631077"/>
      <w:r w:rsidR="009C2DE5">
        <w:rPr>
          <w:rStyle w:val="FootnoteReference"/>
        </w:rPr>
        <w:footnoteReference w:id="78"/>
      </w:r>
      <w:bookmarkEnd w:id="24"/>
    </w:p>
    <w:p w14:paraId="4E21A62F" w14:textId="785F5427" w:rsidR="00123858" w:rsidRDefault="00696C35" w:rsidP="00123858">
      <w:pPr>
        <w:pStyle w:val="ListParagraph"/>
        <w:ind w:left="0"/>
        <w:jc w:val="both"/>
      </w:pPr>
      <w:r>
        <w:t xml:space="preserve">The third and final proceeding created by the </w:t>
      </w:r>
      <w:r w:rsidR="003A20F8">
        <w:t>America Invents Act</w:t>
      </w:r>
      <w:r>
        <w:t xml:space="preserve"> is c</w:t>
      </w:r>
      <w:r w:rsidR="00F50961">
        <w:t>overed business method review</w:t>
      </w:r>
      <w:r>
        <w:t xml:space="preserve">, </w:t>
      </w:r>
      <w:r w:rsidR="00473041">
        <w:t>which is</w:t>
      </w:r>
      <w:r w:rsidR="00F50961">
        <w:t xml:space="preserve"> </w:t>
      </w:r>
      <w:r w:rsidR="00FB4870">
        <w:t xml:space="preserve">available for patents </w:t>
      </w:r>
      <w:r w:rsidR="00F50961" w:rsidRPr="00F50961">
        <w:t xml:space="preserve">that claim </w:t>
      </w:r>
      <w:r w:rsidR="00F50961">
        <w:t>“</w:t>
      </w:r>
      <w:r w:rsidR="00F50961" w:rsidRPr="00F50961">
        <w:t>a method or corresponding apparatus for performing data processing or other operations used in the practice, administration, or management of a financial product or service</w:t>
      </w:r>
      <w:r w:rsidR="00F50961">
        <w:t>.”</w:t>
      </w:r>
      <w:r w:rsidR="00F50961">
        <w:rPr>
          <w:rStyle w:val="FootnoteReference"/>
        </w:rPr>
        <w:footnoteReference w:id="79"/>
      </w:r>
      <w:r w:rsidR="000748A3">
        <w:t xml:space="preserve">  According to the House Judiciary Committee report on the AIA, the program was enacted </w:t>
      </w:r>
      <w:r w:rsidR="008B0727">
        <w:t xml:space="preserve">in response </w:t>
      </w:r>
      <w:r w:rsidR="000748A3">
        <w:t>to an abundance of “</w:t>
      </w:r>
      <w:r w:rsidR="000748A3" w:rsidRPr="000748A3">
        <w:t>poor business-method patents</w:t>
      </w:r>
      <w:r w:rsidR="004B2A23">
        <w:t>”</w:t>
      </w:r>
      <w:r w:rsidR="00056B5B">
        <w:t xml:space="preserve"> issued during the late 1990</w:t>
      </w:r>
      <w:r w:rsidR="000748A3" w:rsidRPr="000748A3">
        <w:t xml:space="preserve">s </w:t>
      </w:r>
      <w:r w:rsidR="00056B5B">
        <w:t>and early 2000</w:t>
      </w:r>
      <w:r w:rsidR="000748A3" w:rsidRPr="000748A3">
        <w:t xml:space="preserve">s </w:t>
      </w:r>
      <w:r w:rsidR="008B0727">
        <w:t>that fue</w:t>
      </w:r>
      <w:r w:rsidR="0006004C">
        <w:t>led a rise in “patent ‘troll’</w:t>
      </w:r>
      <w:r w:rsidR="000748A3" w:rsidRPr="000748A3">
        <w:t xml:space="preserve"> lawsuits</w:t>
      </w:r>
      <w:r w:rsidR="0006004C">
        <w:t>.”</w:t>
      </w:r>
      <w:r w:rsidR="0006004C">
        <w:rPr>
          <w:rStyle w:val="FootnoteReference"/>
        </w:rPr>
        <w:footnoteReference w:id="80"/>
      </w:r>
      <w:r w:rsidR="0006004C">
        <w:t xml:space="preserve">  </w:t>
      </w:r>
      <w:r w:rsidR="00FB4870">
        <w:t xml:space="preserve">A petition for </w:t>
      </w:r>
      <w:r w:rsidR="003A20F8">
        <w:t>covered business method</w:t>
      </w:r>
      <w:r w:rsidR="00FB4870">
        <w:t xml:space="preserve"> review can be filed at any </w:t>
      </w:r>
      <w:r w:rsidR="00056B5B">
        <w:t>time</w:t>
      </w:r>
      <w:r w:rsidR="00FB4870">
        <w:t xml:space="preserve"> during the patent’s </w:t>
      </w:r>
      <w:r w:rsidR="00A348C8">
        <w:t>term</w:t>
      </w:r>
      <w:r w:rsidR="00FB4870">
        <w:t xml:space="preserve"> and can raise any ground for invalidity</w:t>
      </w:r>
      <w:r>
        <w:t>.</w:t>
      </w:r>
      <w:r>
        <w:rPr>
          <w:rStyle w:val="FootnoteReference"/>
        </w:rPr>
        <w:footnoteReference w:id="81"/>
      </w:r>
      <w:r>
        <w:t xml:space="preserve">  The petitioner must, however, </w:t>
      </w:r>
      <w:r w:rsidR="002419CC">
        <w:t>be the defendant in a lawsuit for infringement</w:t>
      </w:r>
      <w:r w:rsidR="00FB4870">
        <w:t>.</w:t>
      </w:r>
      <w:r w:rsidR="00A348C8">
        <w:rPr>
          <w:rStyle w:val="FootnoteReference"/>
        </w:rPr>
        <w:footnoteReference w:id="82"/>
      </w:r>
      <w:r w:rsidR="00FB4870">
        <w:t xml:space="preserve">  </w:t>
      </w:r>
      <w:r w:rsidR="00473041">
        <w:t xml:space="preserve">As with </w:t>
      </w:r>
      <w:r w:rsidR="003A20F8">
        <w:t>post-grant review</w:t>
      </w:r>
      <w:r w:rsidR="00473041">
        <w:t>, t</w:t>
      </w:r>
      <w:r w:rsidR="00F47A90">
        <w:t xml:space="preserve">he PTAB </w:t>
      </w:r>
      <w:r w:rsidR="0006004C">
        <w:t>may</w:t>
      </w:r>
      <w:r w:rsidR="00F47A90">
        <w:t xml:space="preserve"> institute </w:t>
      </w:r>
      <w:r w:rsidR="003A20F8">
        <w:t>covered business method</w:t>
      </w:r>
      <w:r w:rsidR="00F47A90">
        <w:t xml:space="preserve"> review if it is </w:t>
      </w:r>
      <w:r w:rsidR="00FB4870">
        <w:t xml:space="preserve">more likely than not that </w:t>
      </w:r>
      <w:r w:rsidR="0006004C">
        <w:t>a</w:t>
      </w:r>
      <w:r w:rsidR="00FB4870">
        <w:t xml:space="preserve"> claim is </w:t>
      </w:r>
      <w:proofErr w:type="spellStart"/>
      <w:r w:rsidR="00FB4870">
        <w:t>unpatentable</w:t>
      </w:r>
      <w:proofErr w:type="spellEnd"/>
      <w:r w:rsidR="00FB4870">
        <w:t>.</w:t>
      </w:r>
      <w:r w:rsidR="00F47A90">
        <w:rPr>
          <w:rStyle w:val="FootnoteReference"/>
        </w:rPr>
        <w:footnoteReference w:id="83"/>
      </w:r>
      <w:r w:rsidR="00FB4870">
        <w:t xml:space="preserve">  </w:t>
      </w:r>
      <w:r w:rsidR="003A20F8">
        <w:t>Covered business method</w:t>
      </w:r>
      <w:r w:rsidR="00FB4870">
        <w:t xml:space="preserve"> review is</w:t>
      </w:r>
      <w:r w:rsidR="0006004C">
        <w:t xml:space="preserve"> a temporary program that, as it currently stands, </w:t>
      </w:r>
      <w:r w:rsidR="00FB4870">
        <w:t>will be available only until September 15, 2020.</w:t>
      </w:r>
      <w:r w:rsidR="00F47A90">
        <w:rPr>
          <w:rStyle w:val="FootnoteReference"/>
        </w:rPr>
        <w:footnoteReference w:id="84"/>
      </w:r>
      <w:r w:rsidR="00644976">
        <w:t xml:space="preserve">  </w:t>
      </w:r>
      <w:r w:rsidR="00123858">
        <w:t xml:space="preserve">To date, the PTAB has granted just fewer than half of </w:t>
      </w:r>
      <w:r w:rsidR="00C75064">
        <w:t>all</w:t>
      </w:r>
      <w:r w:rsidR="00123858">
        <w:t xml:space="preserve"> requests to institute covered business method review</w:t>
      </w:r>
      <w:r w:rsidR="004E0EAB">
        <w:t xml:space="preserve"> (</w:t>
      </w:r>
      <w:r w:rsidR="00F31639">
        <w:t>106</w:t>
      </w:r>
      <w:r w:rsidR="004E0EAB">
        <w:t xml:space="preserve"> of </w:t>
      </w:r>
      <w:r w:rsidR="00F31639">
        <w:t>220</w:t>
      </w:r>
      <w:r w:rsidR="004E0EAB">
        <w:t>)</w:t>
      </w:r>
      <w:r w:rsidR="009E0625">
        <w:t xml:space="preserve">, with another </w:t>
      </w:r>
      <w:r w:rsidR="00F31639">
        <w:t>seventeen</w:t>
      </w:r>
      <w:r w:rsidR="00CB61A6">
        <w:t xml:space="preserve"> percent of petitions (35</w:t>
      </w:r>
      <w:r w:rsidR="009E0625">
        <w:t xml:space="preserve"> of </w:t>
      </w:r>
      <w:r w:rsidR="00F31639">
        <w:t>220</w:t>
      </w:r>
      <w:r w:rsidR="009E0625">
        <w:t xml:space="preserve">) </w:t>
      </w:r>
      <w:r w:rsidR="005B4A18">
        <w:t>settling before the PTAB decided</w:t>
      </w:r>
      <w:r w:rsidR="009E0625">
        <w:t xml:space="preserve"> whether to institute review</w:t>
      </w:r>
      <w:r w:rsidR="00123858">
        <w:t>.</w:t>
      </w:r>
      <w:r w:rsidR="00123858">
        <w:rPr>
          <w:rStyle w:val="FootnoteReference"/>
        </w:rPr>
        <w:footnoteReference w:id="85"/>
      </w:r>
      <w:r w:rsidR="00123858">
        <w:t xml:space="preserve">  </w:t>
      </w:r>
      <w:r w:rsidR="00D4509F">
        <w:t xml:space="preserve">But an instituted covered business method review can be even more deadly than inter </w:t>
      </w:r>
      <w:proofErr w:type="spellStart"/>
      <w:r w:rsidR="00D4509F">
        <w:t>partes</w:t>
      </w:r>
      <w:proofErr w:type="spellEnd"/>
      <w:r w:rsidR="00D4509F">
        <w:t xml:space="preserve"> review.  </w:t>
      </w:r>
      <w:r w:rsidR="00123858">
        <w:t xml:space="preserve">The PTAB has held all of the instituted claims </w:t>
      </w:r>
      <w:proofErr w:type="spellStart"/>
      <w:r w:rsidR="00123858">
        <w:t>unpatentable</w:t>
      </w:r>
      <w:proofErr w:type="spellEnd"/>
      <w:r w:rsidR="00123858">
        <w:t xml:space="preserve"> in </w:t>
      </w:r>
      <w:r w:rsidR="00F31639">
        <w:t>nearly</w:t>
      </w:r>
      <w:r w:rsidR="00123858">
        <w:t xml:space="preserve"> </w:t>
      </w:r>
      <w:r w:rsidR="005B10EE">
        <w:t>eighty percent</w:t>
      </w:r>
      <w:r w:rsidR="00123858">
        <w:t xml:space="preserve"> of </w:t>
      </w:r>
      <w:r w:rsidR="00D4509F">
        <w:t>covered business method review</w:t>
      </w:r>
      <w:r w:rsidR="00123858">
        <w:t xml:space="preserve"> proceedings that have reached a final decision</w:t>
      </w:r>
      <w:r w:rsidR="004E0EAB">
        <w:t xml:space="preserve"> (</w:t>
      </w:r>
      <w:r w:rsidR="00F31639">
        <w:t>46</w:t>
      </w:r>
      <w:r w:rsidR="004E0EAB">
        <w:t xml:space="preserve"> of </w:t>
      </w:r>
      <w:r w:rsidR="00F31639">
        <w:t>58</w:t>
      </w:r>
      <w:r w:rsidR="004E0EAB">
        <w:t>)</w:t>
      </w:r>
      <w:r w:rsidR="00123858">
        <w:t>.</w:t>
      </w:r>
      <w:r w:rsidR="00123858">
        <w:rPr>
          <w:rStyle w:val="FootnoteReference"/>
        </w:rPr>
        <w:footnoteReference w:id="86"/>
      </w:r>
    </w:p>
    <w:p w14:paraId="0792BD0D" w14:textId="50D0113A" w:rsidR="00B6544D" w:rsidRDefault="0006004C" w:rsidP="00130FD3">
      <w:pPr>
        <w:pStyle w:val="ListParagraph"/>
        <w:tabs>
          <w:tab w:val="left" w:pos="450"/>
        </w:tabs>
        <w:ind w:left="0"/>
        <w:jc w:val="both"/>
      </w:pPr>
      <w:r>
        <w:t>Parties who seek</w:t>
      </w:r>
      <w:r w:rsidR="00FB4870">
        <w:t xml:space="preserve"> post-issuance review </w:t>
      </w:r>
      <w:r w:rsidR="009F0136">
        <w:t xml:space="preserve">at the PTO </w:t>
      </w:r>
      <w:r w:rsidR="00FB4870">
        <w:t>are</w:t>
      </w:r>
      <w:r>
        <w:t>, as noted,</w:t>
      </w:r>
      <w:r w:rsidR="00FB4870">
        <w:t xml:space="preserve"> frequently defendants in patent infringement litigation</w:t>
      </w:r>
      <w:r>
        <w:t xml:space="preserve">.  Those defendants often ask the </w:t>
      </w:r>
      <w:r w:rsidR="00736FC3">
        <w:t xml:space="preserve">district </w:t>
      </w:r>
      <w:r>
        <w:t xml:space="preserve">court to stay the infringement case pending the outcome of </w:t>
      </w:r>
      <w:r w:rsidR="007A3768">
        <w:t>PTO proceedings</w:t>
      </w:r>
      <w:r>
        <w:t xml:space="preserve">.  The Patent Act offers little guidance to courts in making this decision, so </w:t>
      </w:r>
      <w:r w:rsidR="009E2D4C">
        <w:t>courts</w:t>
      </w:r>
      <w:r>
        <w:t xml:space="preserve"> have developed a </w:t>
      </w:r>
      <w:r w:rsidR="00137805">
        <w:t>three-factor test to determine whether a stay is</w:t>
      </w:r>
      <w:r w:rsidR="008B0727">
        <w:t xml:space="preserve"> warranted</w:t>
      </w:r>
      <w:r w:rsidR="00137805">
        <w:t>, considering:  “</w:t>
      </w:r>
      <w:r w:rsidR="00137805" w:rsidRPr="00137805">
        <w:t>(1) whether discovery is complete and whether</w:t>
      </w:r>
      <w:r>
        <w:t xml:space="preserve"> a trial date has been set; (2) </w:t>
      </w:r>
      <w:r w:rsidR="00137805" w:rsidRPr="00137805">
        <w:t>whether a stay will simplify the issues in question and tria</w:t>
      </w:r>
      <w:r>
        <w:t>l of the case; and (3) </w:t>
      </w:r>
      <w:r w:rsidR="00137805" w:rsidRPr="00137805">
        <w:t xml:space="preserve">whether a stay would unduly prejudice or present a clear </w:t>
      </w:r>
      <w:r w:rsidR="00137805" w:rsidRPr="00137805">
        <w:lastRenderedPageBreak/>
        <w:t>tactical disadvantage to the nonmoving party.</w:t>
      </w:r>
      <w:r w:rsidR="00137805">
        <w:t>”</w:t>
      </w:r>
      <w:r w:rsidR="00137805">
        <w:rPr>
          <w:rStyle w:val="FootnoteReference"/>
        </w:rPr>
        <w:footnoteReference w:id="87"/>
      </w:r>
      <w:r w:rsidR="009F0136">
        <w:t xml:space="preserve"> </w:t>
      </w:r>
      <w:r>
        <w:t xml:space="preserve"> </w:t>
      </w:r>
      <w:r w:rsidR="009F0136">
        <w:t>The covered business method review statute</w:t>
      </w:r>
      <w:r>
        <w:t xml:space="preserve"> is </w:t>
      </w:r>
      <w:r w:rsidR="00C75064">
        <w:t>an</w:t>
      </w:r>
      <w:r>
        <w:t xml:space="preserve"> exception to the legislative silence on litigation stays.  It adopts a test that </w:t>
      </w:r>
      <w:r w:rsidR="00CB61A6">
        <w:t>repeats</w:t>
      </w:r>
      <w:r>
        <w:t xml:space="preserve"> the thre</w:t>
      </w:r>
      <w:r w:rsidR="00056B5B">
        <w:t>e factors usually applied</w:t>
      </w:r>
      <w:r>
        <w:t xml:space="preserve"> and adds a fourth factor of </w:t>
      </w:r>
      <w:r w:rsidR="008B0727">
        <w:t>“</w:t>
      </w:r>
      <w:r w:rsidR="008B0727" w:rsidRPr="008B0727">
        <w:t>whether a stay</w:t>
      </w:r>
      <w:r w:rsidR="008B0727">
        <w:t xml:space="preserve"> . . . </w:t>
      </w:r>
      <w:r w:rsidR="008B0727" w:rsidRPr="008B0727">
        <w:t>will reduce the burden of litigation on the parties and on the court</w:t>
      </w:r>
      <w:r w:rsidR="008B0727">
        <w:t>,”</w:t>
      </w:r>
      <w:r>
        <w:rPr>
          <w:rStyle w:val="FootnoteReference"/>
        </w:rPr>
        <w:footnoteReference w:id="88"/>
      </w:r>
      <w:r>
        <w:t xml:space="preserve"> which supporters of the AIA believed to place a “heavy thumb on the scale in favor of a stay.”</w:t>
      </w:r>
      <w:r>
        <w:rPr>
          <w:rStyle w:val="FootnoteReference"/>
        </w:rPr>
        <w:footnoteReference w:id="89"/>
      </w:r>
      <w:r w:rsidR="00130FD3">
        <w:t xml:space="preserve">  </w:t>
      </w:r>
    </w:p>
    <w:p w14:paraId="19740E01" w14:textId="2933421B" w:rsidR="00A22E29" w:rsidRDefault="00D4509F" w:rsidP="00A22E29">
      <w:pPr>
        <w:pStyle w:val="ListParagraph"/>
        <w:tabs>
          <w:tab w:val="left" w:pos="450"/>
        </w:tabs>
        <w:ind w:left="90"/>
        <w:jc w:val="both"/>
      </w:pPr>
      <w:r>
        <w:t xml:space="preserve">By staying litigation, courts can avoid issuing a ruling on patent validity that conflicts with the PTO’s assessment.  </w:t>
      </w:r>
      <w:r w:rsidR="00B0306D">
        <w:t xml:space="preserve">Across all post-issuance proceedings, district courts grant </w:t>
      </w:r>
      <w:r w:rsidR="003D7236">
        <w:t xml:space="preserve">motions seeking </w:t>
      </w:r>
      <w:r w:rsidR="00B0306D">
        <w:t>stays of litigation roughly sixty percent of the time.</w:t>
      </w:r>
      <w:bookmarkStart w:id="25" w:name="_Ref300500729"/>
      <w:r w:rsidR="00B0306D">
        <w:rPr>
          <w:rStyle w:val="FootnoteReference"/>
        </w:rPr>
        <w:footnoteReference w:id="90"/>
      </w:r>
      <w:bookmarkEnd w:id="25"/>
      <w:r w:rsidR="00B0306D">
        <w:t xml:space="preserve">  The grant rate for stays pending </w:t>
      </w:r>
      <w:r w:rsidR="003D7236">
        <w:t xml:space="preserve">an instituted </w:t>
      </w:r>
      <w:r w:rsidR="00AE6030">
        <w:t xml:space="preserve">inter </w:t>
      </w:r>
      <w:proofErr w:type="spellStart"/>
      <w:r w:rsidR="00AE6030">
        <w:t>partes</w:t>
      </w:r>
      <w:proofErr w:type="spellEnd"/>
      <w:r w:rsidR="00AE6030">
        <w:t xml:space="preserve"> review</w:t>
      </w:r>
      <w:r w:rsidR="005614CC">
        <w:t xml:space="preserve"> </w:t>
      </w:r>
      <w:r w:rsidR="00B0306D">
        <w:t>is highe</w:t>
      </w:r>
      <w:r w:rsidR="00A7574E">
        <w:t>r, with commentators reporting</w:t>
      </w:r>
      <w:r w:rsidR="00B0306D">
        <w:t xml:space="preserve"> </w:t>
      </w:r>
      <w:r w:rsidR="00D058A6">
        <w:t>grant</w:t>
      </w:r>
      <w:r w:rsidR="003D7236">
        <w:t xml:space="preserve"> </w:t>
      </w:r>
      <w:r w:rsidR="00B0306D">
        <w:t>rate</w:t>
      </w:r>
      <w:r w:rsidR="00A7574E">
        <w:t>s</w:t>
      </w:r>
      <w:r w:rsidR="00B0306D">
        <w:t xml:space="preserve"> of roughly eighty percent.</w:t>
      </w:r>
      <w:bookmarkStart w:id="26" w:name="_Ref300404903"/>
      <w:r w:rsidR="00B0306D">
        <w:rPr>
          <w:rStyle w:val="FootnoteReference"/>
        </w:rPr>
        <w:footnoteReference w:id="91"/>
      </w:r>
      <w:bookmarkEnd w:id="26"/>
      <w:r w:rsidR="00A22E29">
        <w:t xml:space="preserve">  In that vein, one Federal Circuit judge, sitting by designation in </w:t>
      </w:r>
      <w:r w:rsidR="00F872D6">
        <w:t>a</w:t>
      </w:r>
      <w:r w:rsidR="00A22E29">
        <w:t xml:space="preserve"> district court, suggested that “after the PTAB has instituted review proceedings, the parallel district court litigation ordinarily should be stayed.”</w:t>
      </w:r>
      <w:r w:rsidR="00A22E29">
        <w:rPr>
          <w:rStyle w:val="FootnoteReference"/>
        </w:rPr>
        <w:footnoteReference w:id="92"/>
      </w:r>
      <w:r w:rsidR="00A22E29">
        <w:t xml:space="preserve">  </w:t>
      </w:r>
    </w:p>
    <w:p w14:paraId="1187BD3A" w14:textId="11422D55" w:rsidR="00D2513C" w:rsidRDefault="00F872D6" w:rsidP="00A22E29">
      <w:pPr>
        <w:pStyle w:val="ListParagraph"/>
        <w:tabs>
          <w:tab w:val="left" w:pos="450"/>
        </w:tabs>
        <w:ind w:left="90"/>
        <w:jc w:val="both"/>
      </w:pPr>
      <w:r>
        <w:t xml:space="preserve">That said, it is not uncommon for a court to deny a stay pending inter </w:t>
      </w:r>
      <w:proofErr w:type="spellStart"/>
      <w:r>
        <w:t>partes</w:t>
      </w:r>
      <w:proofErr w:type="spellEnd"/>
      <w:r>
        <w:t xml:space="preserve"> review if the accused infringer delays in seeking PTO review,</w:t>
      </w:r>
      <w:r>
        <w:rPr>
          <w:rStyle w:val="FootnoteReference"/>
        </w:rPr>
        <w:footnoteReference w:id="93"/>
      </w:r>
      <w:r>
        <w:t xml:space="preserve"> if there ar</w:t>
      </w:r>
      <w:r w:rsidRPr="000D1340">
        <w:t>e patent claims in the case on which th</w:t>
      </w:r>
      <w:bookmarkStart w:id="27" w:name="_Ref300500738"/>
      <w:r w:rsidRPr="000D1340">
        <w:t>e PTO has not instituted review</w:t>
      </w:r>
      <w:r>
        <w:t>,</w:t>
      </w:r>
      <w:r w:rsidRPr="000D1340">
        <w:rPr>
          <w:rStyle w:val="FootnoteReference"/>
        </w:rPr>
        <w:footnoteReference w:id="94"/>
      </w:r>
      <w:bookmarkEnd w:id="27"/>
      <w:r w:rsidRPr="000D1340">
        <w:t xml:space="preserve"> or if the parties are direct competitors in the market.</w:t>
      </w:r>
      <w:r w:rsidRPr="000D1340">
        <w:rPr>
          <w:rStyle w:val="FootnoteReference"/>
        </w:rPr>
        <w:footnoteReference w:id="95"/>
      </w:r>
      <w:r>
        <w:t xml:space="preserve">  Moreover, c</w:t>
      </w:r>
      <w:r w:rsidR="00A22E29">
        <w:t xml:space="preserve">ourts are generally perceived to be reluctant to grant stays pending ex parte reexamination because </w:t>
      </w:r>
      <w:r w:rsidR="00A22E29">
        <w:lastRenderedPageBreak/>
        <w:t xml:space="preserve">outright invalidation of the patent is rare in </w:t>
      </w:r>
      <w:r w:rsidR="004A066B">
        <w:t>that proceeding</w:t>
      </w:r>
      <w:r w:rsidR="00A22E29">
        <w:t>.</w:t>
      </w:r>
      <w:r w:rsidR="00A22E29">
        <w:rPr>
          <w:rStyle w:val="FootnoteReference"/>
        </w:rPr>
        <w:footnoteReference w:id="96"/>
      </w:r>
      <w:r w:rsidR="00A22E29">
        <w:t xml:space="preserve">  </w:t>
      </w:r>
      <w:r w:rsidR="00685422">
        <w:t>I</w:t>
      </w:r>
      <w:r w:rsidR="006A6DA2" w:rsidRPr="000D1340">
        <w:t>ndividual courts and judges</w:t>
      </w:r>
      <w:r w:rsidR="00DF765E" w:rsidRPr="000D1340">
        <w:t xml:space="preserve"> </w:t>
      </w:r>
      <w:r w:rsidR="00685422">
        <w:t xml:space="preserve">also </w:t>
      </w:r>
      <w:r w:rsidR="00DF765E" w:rsidRPr="000D1340">
        <w:t>vary widely in their proclivity to grant stays.</w:t>
      </w:r>
      <w:r w:rsidR="002B3183">
        <w:t xml:space="preserve">  Importantly, the Eastern District of Texas—the </w:t>
      </w:r>
      <w:r w:rsidR="0034382F">
        <w:t xml:space="preserve">federal </w:t>
      </w:r>
      <w:r w:rsidR="002B3183">
        <w:t xml:space="preserve">judicial district that handles </w:t>
      </w:r>
      <w:r w:rsidR="0034382F">
        <w:t xml:space="preserve">the most patent cases, </w:t>
      </w:r>
      <w:r w:rsidR="000A2A4E">
        <w:t>over forty</w:t>
      </w:r>
      <w:r w:rsidR="002B3183">
        <w:t xml:space="preserve"> percent of all patent cases filed nationwide</w:t>
      </w:r>
      <w:r w:rsidR="0034382F">
        <w:rPr>
          <w:rStyle w:val="FootnoteReference"/>
        </w:rPr>
        <w:footnoteReference w:id="97"/>
      </w:r>
      <w:r w:rsidR="002B3183">
        <w:t>—</w:t>
      </w:r>
      <w:r w:rsidR="00D2513C">
        <w:t>seems</w:t>
      </w:r>
      <w:r w:rsidR="002B3183">
        <w:t xml:space="preserve"> reluctant to stay litigation pending PTO review.  In the first two years that inter </w:t>
      </w:r>
      <w:proofErr w:type="spellStart"/>
      <w:r w:rsidR="002B3183">
        <w:t>partes</w:t>
      </w:r>
      <w:proofErr w:type="spellEnd"/>
      <w:r w:rsidR="002B3183">
        <w:t xml:space="preserve"> review existed, the Eastern District granted only thirteen percent of stay motions.</w:t>
      </w:r>
      <w:r w:rsidR="00DF765E" w:rsidRPr="000D1340">
        <w:rPr>
          <w:rStyle w:val="FootnoteReference"/>
        </w:rPr>
        <w:footnoteReference w:id="98"/>
      </w:r>
      <w:r w:rsidR="002B3183">
        <w:t xml:space="preserve">  </w:t>
      </w:r>
      <w:r w:rsidR="00C60338">
        <w:t xml:space="preserve">By comparison, the Northern District of California, which is consistently one of the top five districts in number of patent cases filed, granted eighty-five percent of motions to stay pending inter </w:t>
      </w:r>
      <w:proofErr w:type="spellStart"/>
      <w:r w:rsidR="00C60338">
        <w:t>partes</w:t>
      </w:r>
      <w:proofErr w:type="spellEnd"/>
      <w:r w:rsidR="00C60338">
        <w:t xml:space="preserve"> review during that same time period.</w:t>
      </w:r>
      <w:r w:rsidR="00C60338">
        <w:rPr>
          <w:rStyle w:val="FootnoteReference"/>
        </w:rPr>
        <w:footnoteReference w:id="99"/>
      </w:r>
      <w:r w:rsidR="00D2513C">
        <w:t xml:space="preserve">  </w:t>
      </w:r>
      <w:r w:rsidR="0034382F">
        <w:t xml:space="preserve">More recent evidence, however, suggests that the Eastern District is becoming more willing to stay litigation, at least once the PTAB has decided to institute inter </w:t>
      </w:r>
      <w:proofErr w:type="spellStart"/>
      <w:r w:rsidR="0034382F">
        <w:t>partes</w:t>
      </w:r>
      <w:proofErr w:type="spellEnd"/>
      <w:r w:rsidR="0034382F">
        <w:t xml:space="preserve"> review.</w:t>
      </w:r>
      <w:r w:rsidR="0034382F">
        <w:rPr>
          <w:rStyle w:val="FootnoteReference"/>
        </w:rPr>
        <w:footnoteReference w:id="100"/>
      </w:r>
      <w:r w:rsidR="0034382F">
        <w:t xml:space="preserve">  </w:t>
      </w:r>
    </w:p>
    <w:p w14:paraId="0D3CEDD0" w14:textId="146FA3AC" w:rsidR="00195B08" w:rsidRDefault="00D2513C" w:rsidP="00D2513C">
      <w:pPr>
        <w:pStyle w:val="ListParagraph"/>
        <w:tabs>
          <w:tab w:val="left" w:pos="450"/>
        </w:tabs>
        <w:ind w:left="0"/>
        <w:jc w:val="both"/>
      </w:pPr>
      <w:r>
        <w:t>B</w:t>
      </w:r>
      <w:r w:rsidR="00AC535E">
        <w:t>ecause litigation is often stayed pending PTO review</w:t>
      </w:r>
      <w:r w:rsidR="005F66C5">
        <w:t>, cases in which a court and the PTO issue contrary, contemporaneous rulings on patent validity—the focus of this article—are exceptional.</w:t>
      </w:r>
      <w:r w:rsidR="00AC535E">
        <w:t xml:space="preserve">  </w:t>
      </w:r>
      <w:r w:rsidR="000D1340">
        <w:t>But</w:t>
      </w:r>
      <w:r w:rsidR="00293819">
        <w:t xml:space="preserve">, as illustrated by the cases </w:t>
      </w:r>
      <w:r w:rsidR="00AF309C">
        <w:t xml:space="preserve">discussed </w:t>
      </w:r>
      <w:r w:rsidR="00293819">
        <w:t xml:space="preserve">below, </w:t>
      </w:r>
      <w:r w:rsidR="00CE7326">
        <w:t xml:space="preserve">conflicting decisions </w:t>
      </w:r>
      <w:r w:rsidR="00C75064">
        <w:t xml:space="preserve">do </w:t>
      </w:r>
      <w:r w:rsidR="00685422">
        <w:t xml:space="preserve">occur, </w:t>
      </w:r>
      <w:r w:rsidR="00293819">
        <w:t xml:space="preserve">and, when they </w:t>
      </w:r>
      <w:r w:rsidR="00F503D2">
        <w:t>occur</w:t>
      </w:r>
      <w:r w:rsidR="00293819">
        <w:t xml:space="preserve">, the stakes are </w:t>
      </w:r>
      <w:r w:rsidR="00685422">
        <w:t>high</w:t>
      </w:r>
      <w:r w:rsidR="00962690">
        <w:t xml:space="preserve">.  </w:t>
      </w:r>
      <w:r w:rsidR="00293819">
        <w:t>J</w:t>
      </w:r>
      <w:r w:rsidR="00685422">
        <w:t xml:space="preserve">udgments of tens or hundreds of millions of dollars </w:t>
      </w:r>
      <w:r w:rsidR="00CE7326">
        <w:t>hang</w:t>
      </w:r>
      <w:r w:rsidR="00685422">
        <w:t xml:space="preserve"> in the balance, as </w:t>
      </w:r>
      <w:r w:rsidR="00293819">
        <w:t xml:space="preserve">do </w:t>
      </w:r>
      <w:r w:rsidR="00685422">
        <w:t xml:space="preserve">injunctions against continued infringement that have the potential to reshape competition in </w:t>
      </w:r>
      <w:r w:rsidR="00D30F4F">
        <w:t>a particular</w:t>
      </w:r>
      <w:r w:rsidR="00685422">
        <w:t xml:space="preserve"> industry.</w:t>
      </w:r>
      <w:r w:rsidR="00E70765">
        <w:t xml:space="preserve">  </w:t>
      </w:r>
      <w:r w:rsidR="00B6544D">
        <w:t xml:space="preserve">    </w:t>
      </w:r>
    </w:p>
    <w:p w14:paraId="1BF9BE91" w14:textId="6ADB5946" w:rsidR="0090169A" w:rsidRDefault="0090169A" w:rsidP="009F0136">
      <w:pPr>
        <w:pStyle w:val="ListParagraph"/>
        <w:keepNext/>
        <w:ind w:left="360" w:hanging="360"/>
        <w:jc w:val="center"/>
      </w:pPr>
      <w:r w:rsidRPr="00503EDC">
        <w:t>B.</w:t>
      </w:r>
      <w:r>
        <w:tab/>
      </w:r>
      <w:r w:rsidR="00D74081">
        <w:t>The Relationship Between the Parallel Systems</w:t>
      </w:r>
    </w:p>
    <w:p w14:paraId="4736ED80" w14:textId="2AC8E501" w:rsidR="001F3BB7" w:rsidRDefault="00C75064" w:rsidP="003D2EF9">
      <w:pPr>
        <w:pStyle w:val="ListParagraph"/>
        <w:ind w:left="0"/>
        <w:jc w:val="both"/>
      </w:pPr>
      <w:r>
        <w:t xml:space="preserve">Conflicting decisions between the courts and the PTO occur in part because the two forums </w:t>
      </w:r>
      <w:r w:rsidR="00685422">
        <w:t xml:space="preserve">apply different law in assessing patent validity.  </w:t>
      </w:r>
      <w:r w:rsidR="00457C2D">
        <w:t xml:space="preserve">The most </w:t>
      </w:r>
      <w:r w:rsidR="00457C2D">
        <w:lastRenderedPageBreak/>
        <w:t xml:space="preserve">significant differences involve the burden of proof </w:t>
      </w:r>
      <w:r w:rsidR="008B0727">
        <w:t xml:space="preserve">on invalidity </w:t>
      </w:r>
      <w:r w:rsidR="00457C2D">
        <w:t xml:space="preserve">and the standards used to </w:t>
      </w:r>
      <w:r w:rsidR="00627D89">
        <w:t>construe</w:t>
      </w:r>
      <w:r w:rsidR="00457C2D">
        <w:t xml:space="preserve"> the claims of the patent.</w:t>
      </w:r>
      <w:r w:rsidR="003D2EF9">
        <w:t xml:space="preserve">  </w:t>
      </w:r>
    </w:p>
    <w:p w14:paraId="78465A8C" w14:textId="653D3FA0" w:rsidR="00D71477" w:rsidRDefault="00624423" w:rsidP="003D2EF9">
      <w:pPr>
        <w:pStyle w:val="ListParagraph"/>
        <w:ind w:left="0"/>
        <w:jc w:val="both"/>
      </w:pPr>
      <w:r>
        <w:t>The Patent Act states</w:t>
      </w:r>
      <w:r w:rsidR="006A5571">
        <w:t xml:space="preserve"> that </w:t>
      </w:r>
      <w:r w:rsidR="00457C2D">
        <w:t>issued patents are presumed to be valid.</w:t>
      </w:r>
      <w:bookmarkStart w:id="28" w:name="_Ref428881329"/>
      <w:r w:rsidR="00457C2D">
        <w:rPr>
          <w:rStyle w:val="FootnoteReference"/>
        </w:rPr>
        <w:footnoteReference w:id="101"/>
      </w:r>
      <w:bookmarkEnd w:id="28"/>
      <w:r w:rsidR="002822B1">
        <w:t xml:space="preserve">  T</w:t>
      </w:r>
      <w:r w:rsidR="00457C2D">
        <w:t xml:space="preserve">his </w:t>
      </w:r>
      <w:r w:rsidR="00C01704">
        <w:t xml:space="preserve">presumption </w:t>
      </w:r>
      <w:r w:rsidR="00457C2D">
        <w:t xml:space="preserve">means that a litigant </w:t>
      </w:r>
      <w:r w:rsidR="00C01704">
        <w:t>challenging patent validity in court</w:t>
      </w:r>
      <w:r w:rsidR="00457C2D">
        <w:t xml:space="preserve"> must prove invalidity by clear and convincing evidence.</w:t>
      </w:r>
      <w:bookmarkStart w:id="29" w:name="_Ref428881339"/>
      <w:r w:rsidR="00457C2D">
        <w:rPr>
          <w:rStyle w:val="FootnoteReference"/>
        </w:rPr>
        <w:footnoteReference w:id="102"/>
      </w:r>
      <w:bookmarkEnd w:id="29"/>
      <w:r w:rsidR="00457C2D">
        <w:t xml:space="preserve">  In post-issuance review at the PTO, by contrast, the presumption of validity does not apply</w:t>
      </w:r>
      <w:r w:rsidR="00053C6D">
        <w:t>,</w:t>
      </w:r>
      <w:r w:rsidR="00457C2D">
        <w:rPr>
          <w:rStyle w:val="FootnoteReference"/>
        </w:rPr>
        <w:footnoteReference w:id="103"/>
      </w:r>
      <w:r w:rsidR="00053C6D">
        <w:t xml:space="preserve"> and</w:t>
      </w:r>
      <w:r w:rsidR="00457C2D">
        <w:t xml:space="preserve"> </w:t>
      </w:r>
      <w:r w:rsidR="00241D11">
        <w:t>the standard of proof for invalidity</w:t>
      </w:r>
      <w:r w:rsidR="00B84316">
        <w:t xml:space="preserve"> </w:t>
      </w:r>
      <w:r w:rsidR="00241D11">
        <w:t xml:space="preserve">is </w:t>
      </w:r>
      <w:r w:rsidR="006A5571">
        <w:t>a preponderance of the evidence</w:t>
      </w:r>
      <w:r w:rsidR="00135643">
        <w:t>.</w:t>
      </w:r>
      <w:r w:rsidR="00241D11">
        <w:rPr>
          <w:rStyle w:val="FootnoteReference"/>
        </w:rPr>
        <w:footnoteReference w:id="104"/>
      </w:r>
      <w:r w:rsidR="006A5571">
        <w:t xml:space="preserve">  </w:t>
      </w:r>
      <w:r w:rsidR="00241D11">
        <w:t>Thus,</w:t>
      </w:r>
      <w:r w:rsidR="00135643">
        <w:t xml:space="preserve"> </w:t>
      </w:r>
      <w:r w:rsidR="00B84316">
        <w:t>as the Federal Circuit has noted, “the PTO in reexamination proceedings and the court system in patent infringement actions ‘take different approaches in determining validity and on the same evidence could quite correctly come to different conclusions.’”</w:t>
      </w:r>
      <w:r w:rsidR="00241D11">
        <w:rPr>
          <w:rStyle w:val="FootnoteReference"/>
        </w:rPr>
        <w:footnoteReference w:id="105"/>
      </w:r>
      <w:r w:rsidR="00E43793">
        <w:t xml:space="preserve">  </w:t>
      </w:r>
    </w:p>
    <w:p w14:paraId="5FB74C32" w14:textId="226ABF81" w:rsidR="00162BD6" w:rsidRDefault="00E43793" w:rsidP="004D5FB8">
      <w:pPr>
        <w:pStyle w:val="ListParagraph"/>
        <w:ind w:left="0"/>
        <w:jc w:val="both"/>
      </w:pPr>
      <w:r>
        <w:t>The courts and the PTO also take different approaches to the critical question of claim construction.</w:t>
      </w:r>
      <w:r w:rsidR="00CC0AE0">
        <w:t xml:space="preserve">  </w:t>
      </w:r>
      <w:r w:rsidR="00053C6D">
        <w:t xml:space="preserve">Claim construction is the process by which the judge </w:t>
      </w:r>
      <w:r w:rsidR="00D64BA1">
        <w:t>decides</w:t>
      </w:r>
      <w:r w:rsidR="00053C6D">
        <w:t xml:space="preserve"> what the claims of the patent mean, a ruling that is important to determining </w:t>
      </w:r>
      <w:r w:rsidR="00AC535E">
        <w:t xml:space="preserve">both </w:t>
      </w:r>
      <w:r w:rsidR="00053C6D">
        <w:t>validity and infringement.</w:t>
      </w:r>
      <w:r w:rsidR="00053C6D">
        <w:rPr>
          <w:rStyle w:val="FootnoteReference"/>
        </w:rPr>
        <w:footnoteReference w:id="106"/>
      </w:r>
      <w:r w:rsidR="00053C6D">
        <w:t xml:space="preserve">  </w:t>
      </w:r>
      <w:r w:rsidR="00CC0AE0">
        <w:t xml:space="preserve">Under Federal Circuit law, a court </w:t>
      </w:r>
      <w:r w:rsidR="00D64BA1">
        <w:t>construing</w:t>
      </w:r>
      <w:r w:rsidR="00CC0AE0">
        <w:t xml:space="preserve"> a </w:t>
      </w:r>
      <w:r w:rsidR="00B9074C">
        <w:t xml:space="preserve">term in a </w:t>
      </w:r>
      <w:r w:rsidR="00CC0AE0">
        <w:t xml:space="preserve">patent claim </w:t>
      </w:r>
      <w:r w:rsidR="000B3D96">
        <w:t xml:space="preserve">begins by trying to determine </w:t>
      </w:r>
      <w:r w:rsidR="00B9074C">
        <w:t>“</w:t>
      </w:r>
      <w:r w:rsidR="00CC0AE0" w:rsidRPr="00CC0AE0">
        <w:t>the ordinary and custom</w:t>
      </w:r>
      <w:r w:rsidR="00B9074C">
        <w:t>ary meaning</w:t>
      </w:r>
      <w:r w:rsidR="00644976">
        <w:t xml:space="preserve">” that </w:t>
      </w:r>
      <w:r w:rsidR="000B3D96">
        <w:t>the term</w:t>
      </w:r>
      <w:r w:rsidR="00644976">
        <w:t xml:space="preserve"> </w:t>
      </w:r>
      <w:r w:rsidR="00CC0AE0" w:rsidRPr="00CC0AE0">
        <w:t xml:space="preserve">would have to </w:t>
      </w:r>
      <w:r w:rsidR="00644976">
        <w:t>“</w:t>
      </w:r>
      <w:r w:rsidR="00CC0AE0" w:rsidRPr="00CC0AE0">
        <w:t>a person of ordin</w:t>
      </w:r>
      <w:r w:rsidR="00AC535E">
        <w:t>ary skill in the art</w:t>
      </w:r>
      <w:r w:rsidR="00644976">
        <w:t>.”</w:t>
      </w:r>
      <w:r w:rsidR="00B9074C">
        <w:rPr>
          <w:rStyle w:val="FootnoteReference"/>
        </w:rPr>
        <w:footnoteReference w:id="107"/>
      </w:r>
      <w:r w:rsidR="000B3D96">
        <w:t xml:space="preserve">  </w:t>
      </w:r>
      <w:r w:rsidR="00882D7C">
        <w:t>I</w:t>
      </w:r>
      <w:r w:rsidR="00D64BA1">
        <w:t>f that meaning is not “immediately apparent</w:t>
      </w:r>
      <w:r w:rsidR="000B3D96">
        <w:t>,</w:t>
      </w:r>
      <w:r w:rsidR="00D64BA1">
        <w:t>”</w:t>
      </w:r>
      <w:r w:rsidR="000B3D96">
        <w:t xml:space="preserve"> the court </w:t>
      </w:r>
      <w:r w:rsidR="00D64BA1">
        <w:t>can</w:t>
      </w:r>
      <w:r w:rsidR="000B3D96">
        <w:t xml:space="preserve"> </w:t>
      </w:r>
      <w:r w:rsidR="00D64BA1">
        <w:t>consider other</w:t>
      </w:r>
      <w:r w:rsidR="00882D7C">
        <w:t xml:space="preserve"> evidence of the term’s meaning, including </w:t>
      </w:r>
      <w:r w:rsidR="000B3D96">
        <w:t>language</w:t>
      </w:r>
      <w:r w:rsidR="00882D7C">
        <w:t xml:space="preserve"> used elsewhere</w:t>
      </w:r>
      <w:r w:rsidR="000B3D96">
        <w:t xml:space="preserve"> in the patent’s claims, </w:t>
      </w:r>
      <w:r w:rsidR="00D64BA1">
        <w:t>the detailed description of the invention included in the patent document (</w:t>
      </w:r>
      <w:r w:rsidR="00962690">
        <w:t xml:space="preserve">called </w:t>
      </w:r>
      <w:r w:rsidR="000B3D96">
        <w:t>the specification,</w:t>
      </w:r>
      <w:r w:rsidR="00D64BA1">
        <w:t xml:space="preserve"> in patent parlance),</w:t>
      </w:r>
      <w:r w:rsidR="000B3D96">
        <w:t xml:space="preserve"> the patent’s prosecution history</w:t>
      </w:r>
      <w:r w:rsidR="00D64BA1">
        <w:t xml:space="preserve"> (that is, the record of communication between the </w:t>
      </w:r>
      <w:r w:rsidR="00882D7C">
        <w:t>patent applicant</w:t>
      </w:r>
      <w:r w:rsidR="00D64BA1">
        <w:t xml:space="preserve"> and the PTO that preceded issuance of the patent)</w:t>
      </w:r>
      <w:r w:rsidR="000B3D96">
        <w:t>, and extrinsic evidence</w:t>
      </w:r>
      <w:r w:rsidR="00962690">
        <w:t xml:space="preserve"> of the term’s meaning</w:t>
      </w:r>
      <w:r w:rsidR="00D64BA1">
        <w:t>,</w:t>
      </w:r>
      <w:r w:rsidR="00962690">
        <w:t xml:space="preserve"> including expert testimony, dictionaries, and treatises.</w:t>
      </w:r>
      <w:r w:rsidR="00D64BA1">
        <w:rPr>
          <w:rStyle w:val="FootnoteReference"/>
        </w:rPr>
        <w:footnoteReference w:id="108"/>
      </w:r>
      <w:r w:rsidR="000B3D96">
        <w:t xml:space="preserve">  </w:t>
      </w:r>
      <w:r w:rsidR="00D64BA1">
        <w:t>Although various sources can provide evidence of claim meaning, the court’s objective is simple</w:t>
      </w:r>
      <w:r w:rsidR="000B3D96">
        <w:t xml:space="preserve">:  </w:t>
      </w:r>
      <w:r w:rsidR="00882D7C">
        <w:t>“‘</w:t>
      </w:r>
      <w:r w:rsidR="00D64BA1">
        <w:t>to ascertain precisely what it is that is patented.</w:t>
      </w:r>
      <w:r w:rsidR="00882D7C">
        <w:t>’</w:t>
      </w:r>
      <w:r w:rsidR="00D64BA1">
        <w:t>”</w:t>
      </w:r>
      <w:r w:rsidR="00D64BA1">
        <w:rPr>
          <w:rStyle w:val="FootnoteReference"/>
        </w:rPr>
        <w:footnoteReference w:id="109"/>
      </w:r>
      <w:r w:rsidR="00B84CE9">
        <w:t xml:space="preserve">  </w:t>
      </w:r>
    </w:p>
    <w:p w14:paraId="42450748" w14:textId="678428FE" w:rsidR="00353206" w:rsidRDefault="00B84CE9" w:rsidP="004D5FB8">
      <w:pPr>
        <w:pStyle w:val="ListParagraph"/>
        <w:ind w:left="0"/>
        <w:jc w:val="both"/>
      </w:pPr>
      <w:r>
        <w:t>The PTO, by contrast, gives patent claim</w:t>
      </w:r>
      <w:r w:rsidR="001D1C58">
        <w:t>s their</w:t>
      </w:r>
      <w:r w:rsidR="00644976">
        <w:t xml:space="preserve"> </w:t>
      </w:r>
      <w:r>
        <w:t>“</w:t>
      </w:r>
      <w:r w:rsidRPr="00B84CE9">
        <w:t>broadest reasonable construction</w:t>
      </w:r>
      <w:r w:rsidR="00644976">
        <w:t>”</w:t>
      </w:r>
      <w:r w:rsidRPr="00B84CE9">
        <w:t xml:space="preserve"> in light of the </w:t>
      </w:r>
      <w:r w:rsidR="00644976">
        <w:t>patent’s specification.</w:t>
      </w:r>
      <w:r>
        <w:rPr>
          <w:rStyle w:val="FootnoteReference"/>
        </w:rPr>
        <w:footnoteReference w:id="110"/>
      </w:r>
      <w:r w:rsidR="0097629F">
        <w:t xml:space="preserve">  </w:t>
      </w:r>
      <w:r w:rsidR="00EA5977">
        <w:t xml:space="preserve">As the Federal Circuit has observed:  “The broadest reasonable interpretation of a claim term may be the </w:t>
      </w:r>
      <w:r w:rsidR="00EA5977">
        <w:lastRenderedPageBreak/>
        <w:t>same as or broader than [a court’s] construction of a term</w:t>
      </w:r>
      <w:r w:rsidR="00CE7326">
        <w:t xml:space="preserve"> . . . .</w:t>
      </w:r>
      <w:r w:rsidR="00EA5977">
        <w:t xml:space="preserve"> But it cannot be narrower.”</w:t>
      </w:r>
      <w:r w:rsidR="00EA5977">
        <w:rPr>
          <w:rStyle w:val="FootnoteReference"/>
        </w:rPr>
        <w:footnoteReference w:id="111"/>
      </w:r>
      <w:r w:rsidR="00EA5977">
        <w:t xml:space="preserve">  </w:t>
      </w:r>
      <w:r w:rsidR="00053C6D">
        <w:t>The primary</w:t>
      </w:r>
      <w:r w:rsidR="0097629F">
        <w:t xml:space="preserve"> justification for </w:t>
      </w:r>
      <w:r w:rsidR="008B0727">
        <w:t xml:space="preserve">the PTO’s </w:t>
      </w:r>
      <w:r w:rsidR="00B84316">
        <w:t>b</w:t>
      </w:r>
      <w:r w:rsidR="00053C6D">
        <w:t>roadest reasonable construction</w:t>
      </w:r>
      <w:r w:rsidR="0097629F">
        <w:t xml:space="preserve"> standard is that </w:t>
      </w:r>
      <w:r w:rsidR="00642A5E">
        <w:t xml:space="preserve">patent </w:t>
      </w:r>
      <w:r w:rsidR="0097629F">
        <w:t xml:space="preserve">claims in proceedings at the PTO can be amended, so a patent applicant or </w:t>
      </w:r>
      <w:r w:rsidR="00053C6D">
        <w:t xml:space="preserve">patent </w:t>
      </w:r>
      <w:r w:rsidR="0097629F">
        <w:t>owner faced with a broad claim construction that</w:t>
      </w:r>
      <w:r w:rsidR="004220A3">
        <w:t xml:space="preserve"> renders the claim anticipated or obvious </w:t>
      </w:r>
      <w:r w:rsidR="0097629F">
        <w:t xml:space="preserve">can revise </w:t>
      </w:r>
      <w:r w:rsidR="007A3768">
        <w:t xml:space="preserve">that </w:t>
      </w:r>
      <w:r w:rsidR="00B84316">
        <w:t>claim</w:t>
      </w:r>
      <w:r w:rsidR="0097629F">
        <w:t xml:space="preserve"> to avoid the prior art.</w:t>
      </w:r>
      <w:r w:rsidR="0097629F">
        <w:rPr>
          <w:rStyle w:val="FootnoteReference"/>
        </w:rPr>
        <w:footnoteReference w:id="112"/>
      </w:r>
      <w:r w:rsidR="0097629F">
        <w:t xml:space="preserve">  In regulations implementing the </w:t>
      </w:r>
      <w:r w:rsidR="004220A3">
        <w:t>AIA</w:t>
      </w:r>
      <w:r w:rsidR="0097629F">
        <w:t xml:space="preserve">, the PTO adopted the broadest reasonable construction standard for the new proceedings created by the Act, reasoning, among other things, that it would be impractical to apply different claim construction standards in </w:t>
      </w:r>
      <w:r w:rsidR="00056B5B">
        <w:t xml:space="preserve">different </w:t>
      </w:r>
      <w:r w:rsidR="0097629F">
        <w:t>proceedings.</w:t>
      </w:r>
      <w:r w:rsidR="0097629F">
        <w:rPr>
          <w:rStyle w:val="FootnoteReference"/>
        </w:rPr>
        <w:footnoteReference w:id="113"/>
      </w:r>
      <w:r w:rsidR="0097629F">
        <w:t xml:space="preserve"> </w:t>
      </w:r>
      <w:r w:rsidR="00B84316">
        <w:t xml:space="preserve"> </w:t>
      </w:r>
    </w:p>
    <w:p w14:paraId="1EB466D8" w14:textId="74417CF2" w:rsidR="00D71477" w:rsidRDefault="009669DB" w:rsidP="00B2606E">
      <w:pPr>
        <w:pStyle w:val="ListParagraph"/>
        <w:ind w:left="0"/>
        <w:jc w:val="both"/>
      </w:pPr>
      <w:r>
        <w:t>T</w:t>
      </w:r>
      <w:r w:rsidR="007C715C">
        <w:t xml:space="preserve">he broader </w:t>
      </w:r>
      <w:r>
        <w:t xml:space="preserve">claim </w:t>
      </w:r>
      <w:r w:rsidR="007C715C">
        <w:t>construction</w:t>
      </w:r>
      <w:r w:rsidR="00B2606E">
        <w:t xml:space="preserve"> at the PTO</w:t>
      </w:r>
      <w:r w:rsidR="007C715C">
        <w:t xml:space="preserve">, like the lower burden of proof, renders patents more vulnerable to </w:t>
      </w:r>
      <w:r w:rsidR="008B0727">
        <w:t>invalidation at the PTO</w:t>
      </w:r>
      <w:r w:rsidR="00627D89">
        <w:t xml:space="preserve"> than in court</w:t>
      </w:r>
      <w:r w:rsidR="008B0727">
        <w:t>.</w:t>
      </w:r>
      <w:r w:rsidR="00EA5977">
        <w:t xml:space="preserve">  A broader claim is more likely to encompass technology already disclosed in the prior art, making that claim invalid for anticipation or for obviousness. </w:t>
      </w:r>
      <w:r w:rsidR="007C715C">
        <w:t xml:space="preserve"> </w:t>
      </w:r>
      <w:r w:rsidR="00F47DA1">
        <w:t>Although</w:t>
      </w:r>
      <w:r w:rsidR="007C715C">
        <w:t xml:space="preserve"> </w:t>
      </w:r>
      <w:r>
        <w:t>the opportunity to amend claims</w:t>
      </w:r>
      <w:r w:rsidR="00EA5977">
        <w:t xml:space="preserve"> in post-issuance proceedings at the PTO</w:t>
      </w:r>
      <w:r>
        <w:t xml:space="preserve"> </w:t>
      </w:r>
      <w:r w:rsidR="007C715C">
        <w:t xml:space="preserve">mitigates </w:t>
      </w:r>
      <w:r w:rsidR="00EA5977">
        <w:t>the</w:t>
      </w:r>
      <w:r w:rsidR="008B0727">
        <w:t xml:space="preserve"> risk</w:t>
      </w:r>
      <w:r w:rsidR="00EA5977">
        <w:t xml:space="preserve"> of invalidation</w:t>
      </w:r>
      <w:r w:rsidR="00F47DA1">
        <w:t>,</w:t>
      </w:r>
      <w:r>
        <w:t xml:space="preserve"> </w:t>
      </w:r>
      <w:r w:rsidR="007C715C">
        <w:t xml:space="preserve">the right to amend is relatively limited in </w:t>
      </w:r>
      <w:r>
        <w:t xml:space="preserve">AIA </w:t>
      </w:r>
      <w:r w:rsidR="007C715C">
        <w:t>proceedings</w:t>
      </w:r>
      <w:r w:rsidR="00270D81">
        <w:t>,</w:t>
      </w:r>
      <w:bookmarkStart w:id="30" w:name="_Ref303263203"/>
      <w:r w:rsidR="00270D81">
        <w:rPr>
          <w:rStyle w:val="FootnoteReference"/>
        </w:rPr>
        <w:footnoteReference w:id="114"/>
      </w:r>
      <w:bookmarkEnd w:id="30"/>
      <w:r w:rsidR="00270D81">
        <w:t xml:space="preserve"> and successful motions to amend in </w:t>
      </w:r>
      <w:r w:rsidR="00F47DA1">
        <w:t xml:space="preserve">inter </w:t>
      </w:r>
      <w:proofErr w:type="spellStart"/>
      <w:r w:rsidR="00F47DA1">
        <w:t>partes</w:t>
      </w:r>
      <w:proofErr w:type="spellEnd"/>
      <w:r w:rsidR="00F47DA1">
        <w:t xml:space="preserve"> review</w:t>
      </w:r>
      <w:r w:rsidR="00270D81">
        <w:t xml:space="preserve"> have been rare.</w:t>
      </w:r>
      <w:bookmarkStart w:id="31" w:name="_Ref303263211"/>
      <w:r>
        <w:rPr>
          <w:rStyle w:val="FootnoteReference"/>
        </w:rPr>
        <w:footnoteReference w:id="115"/>
      </w:r>
      <w:bookmarkEnd w:id="31"/>
      <w:r w:rsidR="00D6167B">
        <w:t xml:space="preserve">  </w:t>
      </w:r>
    </w:p>
    <w:p w14:paraId="759A7F9A" w14:textId="503DEE83" w:rsidR="007A3768" w:rsidRDefault="004A066B" w:rsidP="007A3768">
      <w:pPr>
        <w:pStyle w:val="ListParagraph"/>
        <w:ind w:left="0"/>
        <w:jc w:val="both"/>
      </w:pPr>
      <w:r>
        <w:t>The d</w:t>
      </w:r>
      <w:r w:rsidR="00962690">
        <w:t>ifferences in the legal doctrines applied by the courts and the PTO complicate the relationship between th</w:t>
      </w:r>
      <w:r>
        <w:t>e</w:t>
      </w:r>
      <w:r w:rsidR="00962690">
        <w:t xml:space="preserve"> two forums.  </w:t>
      </w:r>
      <w:r w:rsidR="004B2A23">
        <w:t>Recently,</w:t>
      </w:r>
      <w:r w:rsidR="0000069C">
        <w:t xml:space="preserve"> in </w:t>
      </w:r>
      <w:r w:rsidR="0000069C">
        <w:rPr>
          <w:i/>
        </w:rPr>
        <w:t>B&amp;B Hardware, Inc. v. Hargis Industries, Inc.</w:t>
      </w:r>
      <w:r w:rsidR="0000069C">
        <w:t>,</w:t>
      </w:r>
      <w:r w:rsidR="00056B5B">
        <w:t xml:space="preserve"> the Supreme Court held—in a case involving the trademark side of the PTO, no less—that </w:t>
      </w:r>
      <w:r w:rsidR="00894059">
        <w:t>decisions of</w:t>
      </w:r>
      <w:r w:rsidR="00095DBC">
        <w:t xml:space="preserve"> administrative </w:t>
      </w:r>
      <w:r w:rsidR="00894059">
        <w:t>agencies</w:t>
      </w:r>
      <w:r w:rsidR="00095DBC">
        <w:t xml:space="preserve"> can preclude </w:t>
      </w:r>
      <w:proofErr w:type="spellStart"/>
      <w:r w:rsidR="00095DBC">
        <w:t>relitigation</w:t>
      </w:r>
      <w:proofErr w:type="spellEnd"/>
      <w:r w:rsidR="00095DBC">
        <w:t xml:space="preserve"> in court, and vice versa, so long as the ordinary requirements of issue preclusion are satisfied.</w:t>
      </w:r>
      <w:r w:rsidR="00095DBC">
        <w:rPr>
          <w:rStyle w:val="FootnoteReference"/>
        </w:rPr>
        <w:footnoteReference w:id="116"/>
      </w:r>
      <w:r w:rsidR="0000069C">
        <w:t xml:space="preserve">  </w:t>
      </w:r>
      <w:r w:rsidR="00F872D6">
        <w:t xml:space="preserve">One of those requirements </w:t>
      </w:r>
      <w:r w:rsidR="00D22E7E">
        <w:t>is that both tribunals are deciding the same issue.</w:t>
      </w:r>
      <w:r w:rsidR="00D22E7E">
        <w:rPr>
          <w:rStyle w:val="FootnoteReference"/>
        </w:rPr>
        <w:footnoteReference w:id="117"/>
      </w:r>
      <w:r w:rsidR="00D22E7E">
        <w:t xml:space="preserve">  In </w:t>
      </w:r>
      <w:r w:rsidR="00D22E7E">
        <w:rPr>
          <w:i/>
        </w:rPr>
        <w:t>B&amp;B Hardware</w:t>
      </w:r>
      <w:r w:rsidR="00D22E7E">
        <w:t xml:space="preserve">, the Court ruled that the PTO’s finding during trademark registration that a mark was likely </w:t>
      </w:r>
      <w:r w:rsidR="00D22E7E">
        <w:lastRenderedPageBreak/>
        <w:t xml:space="preserve">to cause confusion with a previously registered mark could </w:t>
      </w:r>
      <w:r w:rsidR="00F872D6">
        <w:t xml:space="preserve">preclude the parties from </w:t>
      </w:r>
      <w:proofErr w:type="spellStart"/>
      <w:r w:rsidR="00F872D6">
        <w:t>relitigating</w:t>
      </w:r>
      <w:proofErr w:type="spellEnd"/>
      <w:r w:rsidR="00F872D6">
        <w:t xml:space="preserve"> likelihood of </w:t>
      </w:r>
      <w:r w:rsidR="00210422">
        <w:t>confusion</w:t>
      </w:r>
      <w:r w:rsidR="00D22E7E">
        <w:t xml:space="preserve"> in later trademark infringement litigation.</w:t>
      </w:r>
      <w:r w:rsidR="00D22E7E">
        <w:rPr>
          <w:rStyle w:val="FootnoteReference"/>
        </w:rPr>
        <w:footnoteReference w:id="118"/>
      </w:r>
      <w:r w:rsidR="00D22E7E">
        <w:t xml:space="preserve">  But, cognizant of the “same issue” requirement, the Court added, somewhat ambiguously, that for issue preclusion to apply, </w:t>
      </w:r>
      <w:r w:rsidR="0000069C">
        <w:t xml:space="preserve">the trademark owner </w:t>
      </w:r>
      <w:r w:rsidR="00D22E7E">
        <w:t>must have been</w:t>
      </w:r>
      <w:r w:rsidR="0000069C">
        <w:t xml:space="preserve"> using</w:t>
      </w:r>
      <w:r w:rsidR="0000069C" w:rsidRPr="0000069C">
        <w:t xml:space="preserve"> its mark in ways that </w:t>
      </w:r>
      <w:r w:rsidR="0000069C">
        <w:t>were</w:t>
      </w:r>
      <w:r w:rsidR="0000069C" w:rsidRPr="0000069C">
        <w:t xml:space="preserve"> </w:t>
      </w:r>
      <w:r w:rsidR="0000069C">
        <w:t>“</w:t>
      </w:r>
      <w:r w:rsidR="0000069C" w:rsidRPr="0000069C">
        <w:t>materially the same</w:t>
      </w:r>
      <w:r w:rsidR="0000069C">
        <w:t>”</w:t>
      </w:r>
      <w:r w:rsidR="0000069C" w:rsidRPr="0000069C">
        <w:t xml:space="preserve"> as the </w:t>
      </w:r>
      <w:r w:rsidR="0000069C">
        <w:t>uses</w:t>
      </w:r>
      <w:r w:rsidR="0000069C" w:rsidRPr="0000069C">
        <w:t xml:space="preserve"> </w:t>
      </w:r>
      <w:r w:rsidR="0000069C">
        <w:t>described</w:t>
      </w:r>
      <w:r w:rsidR="0000069C" w:rsidRPr="0000069C">
        <w:t xml:space="preserve"> in its registration application</w:t>
      </w:r>
      <w:r w:rsidR="007A3768">
        <w:t>.</w:t>
      </w:r>
      <w:r w:rsidR="007A3768">
        <w:rPr>
          <w:rStyle w:val="FootnoteReference"/>
        </w:rPr>
        <w:footnoteReference w:id="119"/>
      </w:r>
      <w:r w:rsidR="00095DBC">
        <w:t xml:space="preserve">  </w:t>
      </w:r>
      <w:r w:rsidR="00D22E7E">
        <w:t>In parallel patent disputes, however</w:t>
      </w:r>
      <w:r w:rsidR="004B2A23">
        <w:t>, the</w:t>
      </w:r>
      <w:r w:rsidR="00D22E7E">
        <w:t>re is no ambiguity about whether issue preclusion applies.  The</w:t>
      </w:r>
      <w:r w:rsidR="004B2A23">
        <w:t xml:space="preserve"> differing </w:t>
      </w:r>
      <w:r w:rsidR="007A73F0">
        <w:t>burdens of proof and standards of claim construction</w:t>
      </w:r>
      <w:r w:rsidR="004B2A23">
        <w:t xml:space="preserve"> applied by the courts and the PTO</w:t>
      </w:r>
      <w:r w:rsidR="00642A5E">
        <w:t xml:space="preserve"> </w:t>
      </w:r>
      <w:r w:rsidR="00D22E7E">
        <w:t xml:space="preserve">unequivocally </w:t>
      </w:r>
      <w:r w:rsidR="00642A5E">
        <w:t>mean</w:t>
      </w:r>
      <w:r w:rsidR="007A3768">
        <w:t xml:space="preserve"> that </w:t>
      </w:r>
      <w:r w:rsidR="00D22E7E">
        <w:t xml:space="preserve">the “same issue” requirement of </w:t>
      </w:r>
      <w:r w:rsidR="004B2A23">
        <w:t>issue preclusion</w:t>
      </w:r>
      <w:r w:rsidR="00D22E7E">
        <w:t xml:space="preserve"> </w:t>
      </w:r>
      <w:r w:rsidR="004B2A23">
        <w:t>is not met.</w:t>
      </w:r>
      <w:r w:rsidR="00A415A6">
        <w:rPr>
          <w:rStyle w:val="FootnoteReference"/>
        </w:rPr>
        <w:footnoteReference w:id="120"/>
      </w:r>
      <w:r w:rsidR="007A3768">
        <w:t xml:space="preserve">  </w:t>
      </w:r>
      <w:r w:rsidR="00095DBC">
        <w:t>Thus</w:t>
      </w:r>
      <w:r w:rsidR="00F47DA1">
        <w:t xml:space="preserve">, </w:t>
      </w:r>
      <w:r w:rsidR="007A3768">
        <w:t>an infringer who has unsuccessfully tried to invalidate a patent</w:t>
      </w:r>
      <w:r w:rsidR="00642A5E">
        <w:t xml:space="preserve"> in </w:t>
      </w:r>
      <w:r w:rsidR="002822B1">
        <w:t>court</w:t>
      </w:r>
      <w:r w:rsidR="00642A5E">
        <w:t xml:space="preserve"> is not precluded</w:t>
      </w:r>
      <w:r w:rsidR="007A3768">
        <w:t xml:space="preserve"> from asking the PTO </w:t>
      </w:r>
      <w:r w:rsidR="00755A2F">
        <w:t>re</w:t>
      </w:r>
      <w:r w:rsidR="007A3768">
        <w:t>assess</w:t>
      </w:r>
      <w:r w:rsidR="007868A8">
        <w:t xml:space="preserve"> the </w:t>
      </w:r>
      <w:r w:rsidR="00A049EB">
        <w:t>validity</w:t>
      </w:r>
      <w:r w:rsidR="007868A8">
        <w:t xml:space="preserve"> of the same patent</w:t>
      </w:r>
      <w:r w:rsidR="00D22E7E">
        <w:t>, for the PTO will construe the patent’s claims more broadly and apply a lower burden of proof on invalidity</w:t>
      </w:r>
      <w:r w:rsidR="00127E4F">
        <w:t>.</w:t>
      </w:r>
      <w:bookmarkStart w:id="32" w:name="_Ref300404653"/>
      <w:r w:rsidR="00C779D8">
        <w:rPr>
          <w:rStyle w:val="FootnoteReference"/>
        </w:rPr>
        <w:footnoteReference w:id="121"/>
      </w:r>
      <w:bookmarkEnd w:id="32"/>
      <w:r w:rsidR="00F47DA1">
        <w:t xml:space="preserve">  </w:t>
      </w:r>
    </w:p>
    <w:p w14:paraId="68AB6584" w14:textId="72F3FA45" w:rsidR="006A6D61" w:rsidRDefault="00210422" w:rsidP="007A3768">
      <w:pPr>
        <w:pStyle w:val="ListParagraph"/>
        <w:ind w:left="0"/>
        <w:jc w:val="both"/>
      </w:pPr>
      <w:r>
        <w:t xml:space="preserve">Things are more complicated when it is the PTO, rather than a court, that first rejects a challenge to patent validity.  In that circumstance, </w:t>
      </w:r>
      <w:r w:rsidR="00AF2325">
        <w:t>i</w:t>
      </w:r>
      <w:r w:rsidR="00642A5E">
        <w:t>t might seem</w:t>
      </w:r>
      <w:r w:rsidR="00AF2325">
        <w:t xml:space="preserve"> </w:t>
      </w:r>
      <w:r w:rsidR="00642A5E">
        <w:t xml:space="preserve">that an accused infringer who cannot satisfy </w:t>
      </w:r>
      <w:r>
        <w:t>the</w:t>
      </w:r>
      <w:r w:rsidR="00642A5E">
        <w:t xml:space="preserve"> lower burden</w:t>
      </w:r>
      <w:r>
        <w:t xml:space="preserve"> of proof at the PTO</w:t>
      </w:r>
      <w:r w:rsidR="00642A5E">
        <w:t xml:space="preserve"> should not be permitted to reassert the same invalidity arguments in court, where </w:t>
      </w:r>
      <w:r>
        <w:t>the</w:t>
      </w:r>
      <w:r w:rsidR="00642A5E">
        <w:t xml:space="preserve"> burden of proof</w:t>
      </w:r>
      <w:r>
        <w:t xml:space="preserve"> is higher</w:t>
      </w:r>
      <w:r w:rsidR="00962690">
        <w:t xml:space="preserve">, even </w:t>
      </w:r>
      <w:r w:rsidR="001C5592">
        <w:t>if</w:t>
      </w:r>
      <w:r w:rsidR="00962690">
        <w:t xml:space="preserve"> </w:t>
      </w:r>
      <w:r w:rsidR="001C5592">
        <w:t xml:space="preserve">the issues are not technically </w:t>
      </w:r>
      <w:r w:rsidR="00AF2325">
        <w:t>“</w:t>
      </w:r>
      <w:r w:rsidR="001C5592">
        <w:t>the same</w:t>
      </w:r>
      <w:r w:rsidR="00AF2325">
        <w:t>”</w:t>
      </w:r>
      <w:r w:rsidR="00962690">
        <w:t xml:space="preserve"> for the purpose </w:t>
      </w:r>
      <w:r w:rsidR="00AF2325">
        <w:t xml:space="preserve">agency-court </w:t>
      </w:r>
      <w:r w:rsidR="004A066B">
        <w:t xml:space="preserve">issue </w:t>
      </w:r>
      <w:r w:rsidR="00AF2325">
        <w:t xml:space="preserve">preclusion under </w:t>
      </w:r>
      <w:r w:rsidR="00AF2325">
        <w:rPr>
          <w:i/>
        </w:rPr>
        <w:t>B&amp;B Hardware</w:t>
      </w:r>
      <w:r w:rsidR="00642A5E">
        <w:t xml:space="preserve">.  </w:t>
      </w:r>
      <w:r w:rsidR="00AF2325">
        <w:t>Indeed, the AIA explicitly p</w:t>
      </w:r>
      <w:r w:rsidR="00642A5E">
        <w:t>rohibit</w:t>
      </w:r>
      <w:r w:rsidR="006824E8">
        <w:t>s</w:t>
      </w:r>
      <w:r w:rsidR="00642A5E">
        <w:t xml:space="preserve"> an accused infringer</w:t>
      </w:r>
      <w:r w:rsidR="009C4234">
        <w:t xml:space="preserve"> who has pursued a PTAB proceeding to a final decision</w:t>
      </w:r>
      <w:r w:rsidR="00642A5E">
        <w:t xml:space="preserve"> from raising in litigation any argument that it raised or, in the case of inter </w:t>
      </w:r>
      <w:proofErr w:type="spellStart"/>
      <w:r w:rsidR="00642A5E">
        <w:t>partes</w:t>
      </w:r>
      <w:proofErr w:type="spellEnd"/>
      <w:r w:rsidR="00642A5E">
        <w:t xml:space="preserve"> review and post-grant review, could have raised before the PTAB.</w:t>
      </w:r>
      <w:r w:rsidR="00642A5E">
        <w:rPr>
          <w:rStyle w:val="FootnoteReference"/>
        </w:rPr>
        <w:footnoteReference w:id="122"/>
      </w:r>
      <w:r w:rsidR="00642A5E">
        <w:t xml:space="preserve">  </w:t>
      </w:r>
    </w:p>
    <w:p w14:paraId="3B6CB25A" w14:textId="7DADA25A" w:rsidR="00760863" w:rsidRDefault="00CA4368" w:rsidP="007A3768">
      <w:pPr>
        <w:pStyle w:val="ListParagraph"/>
        <w:ind w:left="0"/>
        <w:jc w:val="both"/>
      </w:pPr>
      <w:r>
        <w:t>The ex parte reexamination statute, however, does not address the issue of repetitive arguments</w:t>
      </w:r>
      <w:r w:rsidR="00CE7326">
        <w:t xml:space="preserve"> for invalidity</w:t>
      </w:r>
      <w:r>
        <w:t>.  Moreover, a</w:t>
      </w:r>
      <w:r w:rsidR="00642A5E">
        <w:t>n accused infringer who merely asks the PTO to insti</w:t>
      </w:r>
      <w:r>
        <w:t xml:space="preserve">tute an ex parte reexamination </w:t>
      </w:r>
      <w:r w:rsidR="00642A5E">
        <w:t>is not technically a party</w:t>
      </w:r>
      <w:r w:rsidR="002822B1">
        <w:t xml:space="preserve"> to the reexamination</w:t>
      </w:r>
      <w:r w:rsidR="006A6D61">
        <w:t xml:space="preserve"> proceeding</w:t>
      </w:r>
      <w:r w:rsidR="006A6DA2">
        <w:t xml:space="preserve">, defeating </w:t>
      </w:r>
      <w:r w:rsidR="006A6D61">
        <w:t>another</w:t>
      </w:r>
      <w:r w:rsidR="006A6DA2">
        <w:t xml:space="preserve"> prerequisite for issue preclusion</w:t>
      </w:r>
      <w:r w:rsidR="004A066B">
        <w:t xml:space="preserve"> (in addition to the “same issue” requirement)</w:t>
      </w:r>
      <w:r w:rsidR="002822B1">
        <w:t>.</w:t>
      </w:r>
      <w:r w:rsidR="006A6DA2">
        <w:rPr>
          <w:rStyle w:val="FootnoteReference"/>
        </w:rPr>
        <w:footnoteReference w:id="123"/>
      </w:r>
      <w:r w:rsidR="002822B1">
        <w:t xml:space="preserve">  Accordingly, </w:t>
      </w:r>
      <w:r w:rsidR="00642A5E">
        <w:t>a</w:t>
      </w:r>
      <w:r w:rsidR="009B769E">
        <w:t xml:space="preserve"> PTO decision confirming patentability in </w:t>
      </w:r>
      <w:r w:rsidR="006A6DA2">
        <w:t>ex parte reexamination</w:t>
      </w:r>
      <w:r w:rsidR="009B769E">
        <w:t xml:space="preserve"> does not</w:t>
      </w:r>
      <w:r w:rsidR="000C091A">
        <w:t xml:space="preserve"> </w:t>
      </w:r>
      <w:r>
        <w:t xml:space="preserve">(and, as a matter of constitutional due process, probably could not) </w:t>
      </w:r>
      <w:r w:rsidR="009B769E">
        <w:t xml:space="preserve">preclude </w:t>
      </w:r>
      <w:r w:rsidR="002822B1">
        <w:t>the</w:t>
      </w:r>
      <w:r w:rsidR="009B769E">
        <w:t xml:space="preserve"> accused infringer from </w:t>
      </w:r>
      <w:r>
        <w:t xml:space="preserve">attempting to establish </w:t>
      </w:r>
      <w:r w:rsidR="009B769E">
        <w:t>inva</w:t>
      </w:r>
      <w:r w:rsidR="00127E4F">
        <w:t>lidity in subsequent litigation.</w:t>
      </w:r>
      <w:r w:rsidR="00582009">
        <w:rPr>
          <w:rStyle w:val="FootnoteReference"/>
        </w:rPr>
        <w:footnoteReference w:id="124"/>
      </w:r>
      <w:r w:rsidR="00642A5E">
        <w:t xml:space="preserve">  </w:t>
      </w:r>
      <w:r w:rsidR="00127E4F">
        <w:t>That said,</w:t>
      </w:r>
      <w:r w:rsidR="009B769E">
        <w:t xml:space="preserve"> the Federal Circuit has suggested that confirmation in </w:t>
      </w:r>
      <w:r w:rsidR="00642A5E">
        <w:t xml:space="preserve">ex parte </w:t>
      </w:r>
      <w:r w:rsidR="009B769E">
        <w:t xml:space="preserve">reexamination can </w:t>
      </w:r>
      <w:r w:rsidR="009B769E">
        <w:lastRenderedPageBreak/>
        <w:t>make an accused infringer’s burden of proving invali</w:t>
      </w:r>
      <w:r w:rsidR="00582009">
        <w:t xml:space="preserve">dity </w:t>
      </w:r>
      <w:r w:rsidR="005B4A18">
        <w:t xml:space="preserve">in litigation </w:t>
      </w:r>
      <w:r w:rsidR="00582009">
        <w:t>“more difficult to sustain</w:t>
      </w:r>
      <w:r>
        <w:t>.</w:t>
      </w:r>
      <w:r w:rsidR="009B769E">
        <w:t>”</w:t>
      </w:r>
      <w:bookmarkStart w:id="33" w:name="_Ref429128749"/>
      <w:r w:rsidR="00582009">
        <w:rPr>
          <w:rStyle w:val="FootnoteReference"/>
        </w:rPr>
        <w:footnoteReference w:id="125"/>
      </w:r>
      <w:bookmarkEnd w:id="33"/>
      <w:r w:rsidR="002822B1">
        <w:t xml:space="preserve">  </w:t>
      </w:r>
      <w:r w:rsidR="006A6D61">
        <w:t>T</w:t>
      </w:r>
      <w:r w:rsidR="004B4B17">
        <w:t>he Federal Circuit</w:t>
      </w:r>
      <w:r w:rsidR="002822B1">
        <w:t xml:space="preserve"> has also stated </w:t>
      </w:r>
      <w:r w:rsidR="00AF309C">
        <w:t>that a</w:t>
      </w:r>
      <w:r w:rsidR="002822B1">
        <w:t xml:space="preserve"> court “must consider” the examiner’s decision in deciding whether the infringer has proved invalidity in </w:t>
      </w:r>
      <w:r w:rsidR="004B4B17">
        <w:t xml:space="preserve">subsequent </w:t>
      </w:r>
      <w:r w:rsidR="002822B1">
        <w:t>litigation.</w:t>
      </w:r>
      <w:bookmarkStart w:id="34" w:name="_Ref429128762"/>
      <w:r w:rsidR="002822B1">
        <w:rPr>
          <w:rStyle w:val="FootnoteReference"/>
        </w:rPr>
        <w:footnoteReference w:id="126"/>
      </w:r>
      <w:bookmarkEnd w:id="34"/>
      <w:r w:rsidR="006A6DA2">
        <w:t xml:space="preserve">  Thus, although the PTO’s confirmation of a patent’s validity in ex parte reexamination does not preclude a future challenge to that patent’s validity in court, the PTO’s decision does receive some ill-defined form of deference.</w:t>
      </w:r>
      <w:r w:rsidR="003B56AB">
        <w:rPr>
          <w:rStyle w:val="FootnoteReference"/>
        </w:rPr>
        <w:footnoteReference w:id="127"/>
      </w:r>
      <w:r w:rsidR="006A6DA2">
        <w:t xml:space="preserve">  </w:t>
      </w:r>
    </w:p>
    <w:p w14:paraId="3B750F1B" w14:textId="0ABFAC2C" w:rsidR="003D2EF9" w:rsidRDefault="00642A5E" w:rsidP="005C1519">
      <w:pPr>
        <w:pStyle w:val="ListParagraph"/>
        <w:ind w:left="0"/>
        <w:jc w:val="both"/>
      </w:pPr>
      <w:r>
        <w:t>Although the AIA</w:t>
      </w:r>
      <w:r w:rsidR="006A6DA2">
        <w:t>, unlike the ex parte reexamination statute,</w:t>
      </w:r>
      <w:r>
        <w:t xml:space="preserve"> </w:t>
      </w:r>
      <w:r w:rsidR="006824E8">
        <w:t>explicitly prohibits certain types of repetitive litigation</w:t>
      </w:r>
      <w:r>
        <w:t xml:space="preserve">, </w:t>
      </w:r>
      <w:r w:rsidR="005F7327">
        <w:t xml:space="preserve">it </w:t>
      </w:r>
      <w:r w:rsidR="006A6DA2">
        <w:t xml:space="preserve">also </w:t>
      </w:r>
      <w:r>
        <w:t xml:space="preserve">leaves several </w:t>
      </w:r>
      <w:r w:rsidR="006824E8">
        <w:t xml:space="preserve">important </w:t>
      </w:r>
      <w:r>
        <w:t xml:space="preserve">questions </w:t>
      </w:r>
      <w:r w:rsidR="006824E8">
        <w:t>unanswered</w:t>
      </w:r>
      <w:r w:rsidR="000C091A">
        <w:t xml:space="preserve">.  </w:t>
      </w:r>
      <w:r w:rsidR="006824E8">
        <w:t>For instance, t</w:t>
      </w:r>
      <w:r>
        <w:t>he</w:t>
      </w:r>
      <w:r w:rsidR="005C1519">
        <w:t xml:space="preserve"> statutory </w:t>
      </w:r>
      <w:r w:rsidR="006824E8">
        <w:t>prohibition on reasserting arguments that were rejected by the PTAB</w:t>
      </w:r>
      <w:r w:rsidR="005C1519">
        <w:t xml:space="preserve"> does not arise unless and until th</w:t>
      </w:r>
      <w:r>
        <w:t xml:space="preserve">e PTAB issues a </w:t>
      </w:r>
      <w:r w:rsidR="006824E8" w:rsidRPr="00D058A6">
        <w:t>“</w:t>
      </w:r>
      <w:r w:rsidR="00D058A6" w:rsidRPr="00D058A6">
        <w:t xml:space="preserve">final written </w:t>
      </w:r>
      <w:r w:rsidRPr="00D058A6">
        <w:t>decision</w:t>
      </w:r>
      <w:r w:rsidR="006824E8" w:rsidRPr="00D058A6">
        <w:t>.”</w:t>
      </w:r>
      <w:r w:rsidR="00D058A6">
        <w:rPr>
          <w:rStyle w:val="FootnoteReference"/>
        </w:rPr>
        <w:footnoteReference w:id="128"/>
      </w:r>
      <w:r w:rsidR="006824E8">
        <w:t xml:space="preserve">  A</w:t>
      </w:r>
      <w:r w:rsidR="005C1519">
        <w:t xml:space="preserve"> decision instituting or declining to institute review is</w:t>
      </w:r>
      <w:r w:rsidR="006824E8">
        <w:t xml:space="preserve"> therefore</w:t>
      </w:r>
      <w:r w:rsidR="005C1519">
        <w:t xml:space="preserve"> outside the</w:t>
      </w:r>
      <w:r w:rsidR="006824E8">
        <w:t xml:space="preserve"> statute’s</w:t>
      </w:r>
      <w:r w:rsidR="005C1519">
        <w:t xml:space="preserve"> scope</w:t>
      </w:r>
      <w:r w:rsidR="006824E8">
        <w:t>, and courts have reached divergent results about how those PTAB decisions should affect litigation, if at all.  Some</w:t>
      </w:r>
      <w:r w:rsidR="00AB284F">
        <w:t xml:space="preserve"> district courts </w:t>
      </w:r>
      <w:r w:rsidR="00A27650">
        <w:t>have allowed patent holders to inform the jury that the PTAB denied the accused infringer’s petition for review</w:t>
      </w:r>
      <w:r w:rsidR="006824E8">
        <w:t>.</w:t>
      </w:r>
      <w:r w:rsidR="00A27650">
        <w:rPr>
          <w:rStyle w:val="FootnoteReference"/>
        </w:rPr>
        <w:footnoteReference w:id="129"/>
      </w:r>
      <w:r w:rsidR="006824E8">
        <w:t xml:space="preserve">  Other courts, by contrast, </w:t>
      </w:r>
      <w:r w:rsidR="00A27650">
        <w:t xml:space="preserve">have emphasized the “different standards, procedures and presumptions” that apply </w:t>
      </w:r>
      <w:r w:rsidR="001A79F0">
        <w:t xml:space="preserve">in court and at the PTAB </w:t>
      </w:r>
      <w:r w:rsidR="00A27650">
        <w:t xml:space="preserve">and have </w:t>
      </w:r>
      <w:r w:rsidR="005C1519">
        <w:t>prohibited litigants from referring</w:t>
      </w:r>
      <w:r w:rsidR="00A27650">
        <w:t xml:space="preserve"> </w:t>
      </w:r>
      <w:r w:rsidR="005C1519">
        <w:t xml:space="preserve">to </w:t>
      </w:r>
      <w:r w:rsidR="00A27650">
        <w:t>post-issuance proceedings</w:t>
      </w:r>
      <w:r w:rsidR="005C1519">
        <w:t xml:space="preserve"> involving the patent</w:t>
      </w:r>
      <w:r w:rsidR="004B4B17">
        <w:t>-in-suit</w:t>
      </w:r>
      <w:r w:rsidR="00A27650">
        <w:t>.</w:t>
      </w:r>
      <w:r w:rsidR="00A27650">
        <w:rPr>
          <w:rStyle w:val="FootnoteReference"/>
        </w:rPr>
        <w:footnoteReference w:id="130"/>
      </w:r>
      <w:r w:rsidR="00A27650">
        <w:t xml:space="preserve"> </w:t>
      </w:r>
    </w:p>
    <w:p w14:paraId="48D9962D" w14:textId="78E001E4" w:rsidR="002B72E2" w:rsidRDefault="009F6DA1" w:rsidP="009B769E">
      <w:pPr>
        <w:pStyle w:val="ListParagraph"/>
        <w:ind w:left="0"/>
        <w:jc w:val="both"/>
      </w:pPr>
      <w:r>
        <w:t>As for claim construction, t</w:t>
      </w:r>
      <w:r w:rsidR="00A111D7">
        <w:t>he Federal Circuit has held that, in an ex parte reexamination, the PTO cannot be bound by a district court claim construction</w:t>
      </w:r>
      <w:r w:rsidR="00A36B9F">
        <w:t xml:space="preserve"> because </w:t>
      </w:r>
      <w:r w:rsidR="00EA5B5C">
        <w:t>the PTO is not a party to district co</w:t>
      </w:r>
      <w:r w:rsidR="005C1519">
        <w:t>urt litigation</w:t>
      </w:r>
      <w:r w:rsidR="005262DA">
        <w:t>.</w:t>
      </w:r>
      <w:r w:rsidR="005A05F7">
        <w:rPr>
          <w:rStyle w:val="FootnoteReference"/>
        </w:rPr>
        <w:footnoteReference w:id="131"/>
      </w:r>
      <w:r w:rsidR="0050535D">
        <w:t xml:space="preserve"> </w:t>
      </w:r>
      <w:r w:rsidR="00253949">
        <w:t xml:space="preserve"> </w:t>
      </w:r>
      <w:r w:rsidR="00A111D7">
        <w:t xml:space="preserve">The patent holder, by contrast, </w:t>
      </w:r>
      <w:r w:rsidR="00A111D7" w:rsidRPr="002114AE">
        <w:t>is</w:t>
      </w:r>
      <w:r w:rsidR="00A111D7">
        <w:t xml:space="preserve"> a party to both the litigation and </w:t>
      </w:r>
      <w:r w:rsidR="005262DA">
        <w:t xml:space="preserve">to </w:t>
      </w:r>
      <w:r w:rsidR="00EA5B5C">
        <w:t>any</w:t>
      </w:r>
      <w:r w:rsidR="005262DA">
        <w:t xml:space="preserve"> post-issuance review proceeding</w:t>
      </w:r>
      <w:r w:rsidR="009B769E">
        <w:t xml:space="preserve">.  Accordingly, </w:t>
      </w:r>
      <w:r w:rsidR="00A36B9F">
        <w:t>the Federal Circuit has</w:t>
      </w:r>
      <w:r w:rsidR="00C144F8">
        <w:t xml:space="preserve"> held</w:t>
      </w:r>
      <w:r w:rsidR="00894059">
        <w:t>—despite the differing claim construction standards</w:t>
      </w:r>
      <w:r w:rsidR="006824E8">
        <w:t xml:space="preserve"> that would </w:t>
      </w:r>
      <w:r w:rsidR="00CE7326">
        <w:t>seem to</w:t>
      </w:r>
      <w:r w:rsidR="006824E8">
        <w:t xml:space="preserve"> defeat issue preclusion</w:t>
      </w:r>
      <w:r w:rsidR="00894059">
        <w:t>—</w:t>
      </w:r>
      <w:r w:rsidR="00C144F8">
        <w:t xml:space="preserve">that </w:t>
      </w:r>
      <w:r w:rsidR="009B769E">
        <w:t xml:space="preserve">a district court’s prior claim construction can bind </w:t>
      </w:r>
      <w:r w:rsidR="00C144F8">
        <w:t xml:space="preserve">a patent owner </w:t>
      </w:r>
      <w:r w:rsidR="009B769E">
        <w:t xml:space="preserve">in ex parte </w:t>
      </w:r>
      <w:r w:rsidR="009B769E">
        <w:lastRenderedPageBreak/>
        <w:t>reexamination</w:t>
      </w:r>
      <w:r w:rsidR="00C144F8">
        <w:t>.</w:t>
      </w:r>
      <w:r w:rsidR="009026B7">
        <w:rPr>
          <w:rStyle w:val="FootnoteReference"/>
        </w:rPr>
        <w:footnoteReference w:id="132"/>
      </w:r>
      <w:r w:rsidR="009B769E">
        <w:t xml:space="preserve">  I</w:t>
      </w:r>
      <w:r w:rsidR="00883979">
        <w:t xml:space="preserve">n the </w:t>
      </w:r>
      <w:r w:rsidR="005C1519">
        <w:t>new</w:t>
      </w:r>
      <w:r w:rsidR="00883979">
        <w:t xml:space="preserve"> proceedings created by the AIA, </w:t>
      </w:r>
      <w:r w:rsidR="00EA5B5C">
        <w:t xml:space="preserve">however, </w:t>
      </w:r>
      <w:r w:rsidR="00883979">
        <w:t xml:space="preserve">the PTAB has not applied </w:t>
      </w:r>
      <w:r w:rsidR="005B4A18">
        <w:t>that</w:t>
      </w:r>
      <w:r w:rsidR="00883979">
        <w:t xml:space="preserve"> </w:t>
      </w:r>
      <w:r w:rsidR="009B769E">
        <w:t xml:space="preserve">principle </w:t>
      </w:r>
      <w:r w:rsidR="00883979">
        <w:t xml:space="preserve">broadly.  </w:t>
      </w:r>
      <w:r w:rsidR="009B769E">
        <w:t>Although</w:t>
      </w:r>
      <w:r w:rsidR="00883979">
        <w:t xml:space="preserve"> it is not uncommon for the PTAB to adopt a district court’s previous claim construction,</w:t>
      </w:r>
      <w:r w:rsidR="00883979">
        <w:rPr>
          <w:rStyle w:val="FootnoteReference"/>
        </w:rPr>
        <w:footnoteReference w:id="133"/>
      </w:r>
      <w:r w:rsidR="00883979">
        <w:t xml:space="preserve"> particularly when the parties urge </w:t>
      </w:r>
      <w:r w:rsidR="009B769E">
        <w:t>it</w:t>
      </w:r>
      <w:r w:rsidR="00883979">
        <w:t xml:space="preserve"> to do so</w:t>
      </w:r>
      <w:r w:rsidR="009B769E">
        <w:t>,</w:t>
      </w:r>
      <w:r w:rsidR="00883979">
        <w:rPr>
          <w:rStyle w:val="FootnoteReference"/>
        </w:rPr>
        <w:footnoteReference w:id="134"/>
      </w:r>
      <w:r w:rsidR="002D25B7">
        <w:t xml:space="preserve"> the PTAB has made</w:t>
      </w:r>
      <w:r w:rsidR="00883979">
        <w:t xml:space="preserve"> clear that, because it applies a different </w:t>
      </w:r>
      <w:r w:rsidR="00EA5B5C">
        <w:t>claim construction</w:t>
      </w:r>
      <w:r w:rsidR="00883979">
        <w:t xml:space="preserve"> s</w:t>
      </w:r>
      <w:r w:rsidR="00894059">
        <w:t>tandard</w:t>
      </w:r>
      <w:r w:rsidR="00883979">
        <w:t>, it construes claims independently.</w:t>
      </w:r>
      <w:r w:rsidR="00B6387A">
        <w:rPr>
          <w:rStyle w:val="FootnoteReference"/>
        </w:rPr>
        <w:footnoteReference w:id="135"/>
      </w:r>
      <w:r w:rsidR="00883979">
        <w:t xml:space="preserve">    </w:t>
      </w:r>
    </w:p>
    <w:p w14:paraId="09041023" w14:textId="02D5F681" w:rsidR="00BB6DF3" w:rsidRDefault="00A36B9F" w:rsidP="009A0E5B">
      <w:pPr>
        <w:pStyle w:val="ListParagraph"/>
        <w:ind w:left="0"/>
        <w:jc w:val="both"/>
      </w:pPr>
      <w:r>
        <w:t>Similarly, t</w:t>
      </w:r>
      <w:r w:rsidR="00354FBA">
        <w:t>he courts generally acknowledge that they are not bound by the PTO’s claim construction because of the PTO’s use of the broadest reasonable construction standard.</w:t>
      </w:r>
      <w:r w:rsidR="00354FBA">
        <w:rPr>
          <w:rStyle w:val="FootnoteReference"/>
        </w:rPr>
        <w:footnoteReference w:id="136"/>
      </w:r>
      <w:r w:rsidR="00361D51">
        <w:t xml:space="preserve">  </w:t>
      </w:r>
      <w:r w:rsidR="002D25B7">
        <w:t>But</w:t>
      </w:r>
      <w:r w:rsidR="00361D51">
        <w:t xml:space="preserve"> it is not unusual for courts to acknowledge that PTO claim construction</w:t>
      </w:r>
      <w:r w:rsidR="004B2A23">
        <w:t xml:space="preserve"> can be “helpful” to the court</w:t>
      </w:r>
      <w:r w:rsidR="00361D51">
        <w:t>.</w:t>
      </w:r>
      <w:r w:rsidR="00361D51">
        <w:rPr>
          <w:rStyle w:val="FootnoteReference"/>
        </w:rPr>
        <w:footnoteReference w:id="137"/>
      </w:r>
      <w:r w:rsidR="0076768E">
        <w:t xml:space="preserve"> </w:t>
      </w:r>
      <w:r w:rsidR="009A0E5B">
        <w:t xml:space="preserve"> </w:t>
      </w:r>
      <w:r w:rsidR="0076768E">
        <w:t>Indeed,</w:t>
      </w:r>
      <w:r w:rsidR="0050535D" w:rsidRPr="00354FBA">
        <w:t xml:space="preserve"> </w:t>
      </w:r>
      <w:r w:rsidR="004A5361">
        <w:t xml:space="preserve">it is well-established that </w:t>
      </w:r>
      <w:r w:rsidR="00214165" w:rsidRPr="00354FBA">
        <w:t>the PTO’s interpretation of the claims</w:t>
      </w:r>
      <w:r w:rsidR="002C0A47">
        <w:t>, including during post-issuance proceedings,</w:t>
      </w:r>
      <w:r w:rsidR="00214165" w:rsidRPr="00354FBA">
        <w:t xml:space="preserve"> </w:t>
      </w:r>
      <w:r w:rsidR="004A5361">
        <w:t>is</w:t>
      </w:r>
      <w:r w:rsidR="00214165" w:rsidRPr="00354FBA">
        <w:t xml:space="preserve"> </w:t>
      </w:r>
      <w:r w:rsidR="00BB6DF3" w:rsidRPr="00354FBA">
        <w:t xml:space="preserve">important </w:t>
      </w:r>
      <w:r w:rsidR="00214165" w:rsidRPr="00354FBA">
        <w:t>evidence of claim meaning</w:t>
      </w:r>
      <w:r w:rsidR="001D0B4C" w:rsidRPr="00354FBA">
        <w:t xml:space="preserve"> in </w:t>
      </w:r>
      <w:r w:rsidR="004A5361">
        <w:t>subsequent</w:t>
      </w:r>
      <w:r w:rsidR="001D0B4C" w:rsidRPr="00354FBA">
        <w:t xml:space="preserve"> court proceedings</w:t>
      </w:r>
      <w:r w:rsidR="00BB6DF3" w:rsidRPr="00354FBA">
        <w:t>.</w:t>
      </w:r>
      <w:r w:rsidR="00214165" w:rsidRPr="00354FBA">
        <w:rPr>
          <w:rStyle w:val="FootnoteReference"/>
        </w:rPr>
        <w:footnoteReference w:id="138"/>
      </w:r>
      <w:r w:rsidR="0050535D">
        <w:t xml:space="preserve"> </w:t>
      </w:r>
    </w:p>
    <w:p w14:paraId="65E05B3C" w14:textId="0AA6D30C" w:rsidR="00124DA2" w:rsidRDefault="0076768E" w:rsidP="00556629">
      <w:pPr>
        <w:pStyle w:val="ListParagraph"/>
        <w:ind w:left="0"/>
        <w:jc w:val="both"/>
      </w:pPr>
      <w:r>
        <w:t>As this discussion suggests</w:t>
      </w:r>
      <w:r w:rsidR="001E7A08">
        <w:t xml:space="preserve">, the relationship between patent litigation in court and </w:t>
      </w:r>
      <w:r w:rsidR="005C1519">
        <w:t xml:space="preserve">post-issuance review </w:t>
      </w:r>
      <w:r w:rsidR="009E3F1A">
        <w:t>at the PTO</w:t>
      </w:r>
      <w:r w:rsidR="004B2A23">
        <w:t xml:space="preserve"> </w:t>
      </w:r>
      <w:r>
        <w:t xml:space="preserve">is </w:t>
      </w:r>
      <w:r w:rsidR="00414E42">
        <w:t>complicated</w:t>
      </w:r>
      <w:r w:rsidR="005C1519">
        <w:t xml:space="preserve">, </w:t>
      </w:r>
      <w:r w:rsidR="00414E42">
        <w:t>unpredictable</w:t>
      </w:r>
      <w:r w:rsidR="005C1519">
        <w:t>, and often defined through ad hoc decisions by federal district judges and the PTAB</w:t>
      </w:r>
      <w:r>
        <w:t xml:space="preserve">.  </w:t>
      </w:r>
      <w:r w:rsidR="002114AE">
        <w:t xml:space="preserve">This background will help </w:t>
      </w:r>
      <w:r w:rsidR="006A6D61">
        <w:t xml:space="preserve">in answering </w:t>
      </w:r>
      <w:r w:rsidR="00414E42">
        <w:t>the complex and controversial</w:t>
      </w:r>
      <w:r w:rsidR="00BB1E10">
        <w:t xml:space="preserve"> issue</w:t>
      </w:r>
      <w:r w:rsidR="002114AE">
        <w:t xml:space="preserve"> to which the article now turns</w:t>
      </w:r>
      <w:r w:rsidR="00556629">
        <w:t xml:space="preserve">: </w:t>
      </w:r>
      <w:r w:rsidR="004B2A23">
        <w:t xml:space="preserve"> </w:t>
      </w:r>
      <w:r w:rsidR="006A6DA2">
        <w:t>W</w:t>
      </w:r>
      <w:r w:rsidR="00BB1E10">
        <w:t xml:space="preserve">hat happens </w:t>
      </w:r>
      <w:r w:rsidR="001F3BB7">
        <w:t xml:space="preserve">if a court </w:t>
      </w:r>
      <w:r w:rsidR="00CE7326">
        <w:t>finds a patent to be infringed and rejects a challenge to the patent’s validity,</w:t>
      </w:r>
      <w:r w:rsidR="001F3BB7">
        <w:t xml:space="preserve"> but the PTO, at roughly the same time, finds the patent to be invalid</w:t>
      </w:r>
      <w:r w:rsidR="00BB1E10">
        <w:t>?</w:t>
      </w:r>
      <w:r w:rsidR="00AF2325">
        <w:rPr>
          <w:rStyle w:val="FootnoteReference"/>
        </w:rPr>
        <w:footnoteReference w:id="139"/>
      </w:r>
      <w:r w:rsidR="00BB1E10">
        <w:t xml:space="preserve">  </w:t>
      </w:r>
    </w:p>
    <w:p w14:paraId="67ACE8F6" w14:textId="430A3EA9" w:rsidR="00151548" w:rsidRPr="009039D5" w:rsidRDefault="00151548" w:rsidP="007D5E5F">
      <w:pPr>
        <w:pStyle w:val="ListParagraph"/>
        <w:keepNext/>
        <w:widowControl w:val="0"/>
        <w:tabs>
          <w:tab w:val="left" w:pos="360"/>
        </w:tabs>
        <w:ind w:left="360" w:hanging="360"/>
        <w:jc w:val="center"/>
        <w:rPr>
          <w:smallCaps/>
        </w:rPr>
      </w:pPr>
      <w:r w:rsidRPr="00A31C0E">
        <w:rPr>
          <w:smallCaps/>
        </w:rPr>
        <w:lastRenderedPageBreak/>
        <w:t>II.</w:t>
      </w:r>
      <w:r w:rsidRPr="00A31C0E">
        <w:rPr>
          <w:smallCaps/>
        </w:rPr>
        <w:tab/>
      </w:r>
      <w:r w:rsidR="00784884" w:rsidRPr="00A31C0E">
        <w:rPr>
          <w:smallCaps/>
        </w:rPr>
        <w:t>Conflicting</w:t>
      </w:r>
      <w:r w:rsidR="00784884">
        <w:rPr>
          <w:smallCaps/>
        </w:rPr>
        <w:t xml:space="preserve"> Decisions in Concurrent Proceedings</w:t>
      </w:r>
    </w:p>
    <w:p w14:paraId="6F7217A1" w14:textId="1ECB65DA" w:rsidR="0082778F" w:rsidRDefault="00CE7326" w:rsidP="00CE7326">
      <w:pPr>
        <w:tabs>
          <w:tab w:val="left" w:pos="360"/>
        </w:tabs>
        <w:jc w:val="both"/>
      </w:pPr>
      <w:r>
        <w:t>As the popularity of post-issuance review at the PTO has grown, t</w:t>
      </w:r>
      <w:r w:rsidR="00E336A5">
        <w:t xml:space="preserve">he question of how the PTO’s invalidation of a patent affects concurrent </w:t>
      </w:r>
      <w:r w:rsidR="009B339B">
        <w:t xml:space="preserve">infringement </w:t>
      </w:r>
      <w:r w:rsidR="00E336A5">
        <w:t>litigation has become exceedingly importan</w:t>
      </w:r>
      <w:r>
        <w:t>t.</w:t>
      </w:r>
      <w:r w:rsidR="00116AF0">
        <w:t xml:space="preserve"> </w:t>
      </w:r>
      <w:r>
        <w:t xml:space="preserve"> </w:t>
      </w:r>
      <w:r w:rsidR="00116AF0">
        <w:t>Yet, t</w:t>
      </w:r>
      <w:r w:rsidR="00B22DE0">
        <w:t xml:space="preserve">o date, few commentators have </w:t>
      </w:r>
      <w:r w:rsidR="00E336A5">
        <w:t>tried to answer</w:t>
      </w:r>
      <w:r w:rsidR="00116AF0">
        <w:t xml:space="preserve"> </w:t>
      </w:r>
      <w:r w:rsidR="001F3BB7">
        <w:t>that</w:t>
      </w:r>
      <w:r w:rsidR="00116AF0">
        <w:t xml:space="preserve"> question.</w:t>
      </w:r>
      <w:bookmarkStart w:id="35" w:name="_Ref428525047"/>
      <w:r w:rsidR="00B22DE0">
        <w:rPr>
          <w:rStyle w:val="FootnoteReference"/>
        </w:rPr>
        <w:footnoteReference w:id="140"/>
      </w:r>
      <w:bookmarkEnd w:id="35"/>
      <w:r w:rsidR="00116AF0">
        <w:t xml:space="preserve">  </w:t>
      </w:r>
      <w:r w:rsidR="00FE2ADA">
        <w:t>This part provides a descriptive account to f</w:t>
      </w:r>
      <w:r>
        <w:t xml:space="preserve">ill that gap.  </w:t>
      </w:r>
      <w:r w:rsidR="00116AF0">
        <w:t xml:space="preserve">To be clear up front:  </w:t>
      </w:r>
      <w:r w:rsidR="00E82FBD">
        <w:t>the</w:t>
      </w:r>
      <w:r w:rsidR="00116AF0">
        <w:t xml:space="preserve"> </w:t>
      </w:r>
      <w:r w:rsidR="00D16F9F">
        <w:t>story is complicated</w:t>
      </w:r>
      <w:r w:rsidR="005F7327">
        <w:t>.  C</w:t>
      </w:r>
      <w:r w:rsidR="00E82FBD">
        <w:t xml:space="preserve">ases involving concurrent proceedings in court and at the PTO are inevitably complex, and seemingly minor </w:t>
      </w:r>
      <w:r w:rsidR="001F3BB7">
        <w:t xml:space="preserve">facts and </w:t>
      </w:r>
      <w:r w:rsidR="00E82FBD">
        <w:t>procedural details can play a critical role</w:t>
      </w:r>
      <w:r w:rsidR="00E336A5">
        <w:t xml:space="preserve">.  </w:t>
      </w:r>
      <w:r w:rsidR="00050E09">
        <w:t>The story</w:t>
      </w:r>
      <w:r w:rsidR="00FE2ADA">
        <w:t xml:space="preserve"> begins with two </w:t>
      </w:r>
      <w:r w:rsidR="00B22DE0">
        <w:t xml:space="preserve">unpublished </w:t>
      </w:r>
      <w:r w:rsidR="00116AF0">
        <w:t xml:space="preserve">Federal Circuit </w:t>
      </w:r>
      <w:r w:rsidR="00B22DE0">
        <w:t>opinions</w:t>
      </w:r>
      <w:r w:rsidR="00116AF0">
        <w:t xml:space="preserve"> decided </w:t>
      </w:r>
      <w:r w:rsidR="00E82FBD">
        <w:t xml:space="preserve">nearly </w:t>
      </w:r>
      <w:r w:rsidR="00116AF0">
        <w:t>fifteen years apart</w:t>
      </w:r>
      <w:r w:rsidR="00B22DE0">
        <w:t xml:space="preserve"> that provided </w:t>
      </w:r>
      <w:r w:rsidR="005838E1">
        <w:t>scant</w:t>
      </w:r>
      <w:r w:rsidR="00B22DE0">
        <w:t xml:space="preserve"> </w:t>
      </w:r>
      <w:r w:rsidR="00116AF0">
        <w:t>reasoning</w:t>
      </w:r>
      <w:r w:rsidR="00B22DE0">
        <w:t xml:space="preserve"> but </w:t>
      </w:r>
      <w:r w:rsidR="00C43571">
        <w:t xml:space="preserve">that likely </w:t>
      </w:r>
      <w:r w:rsidR="00116AF0">
        <w:t xml:space="preserve">influenced </w:t>
      </w:r>
      <w:r w:rsidR="00FE2ADA">
        <w:t xml:space="preserve">the Federal Circuit’s current approach.  And it ends with </w:t>
      </w:r>
      <w:r w:rsidR="00F41D6D">
        <w:t>a deeply divided</w:t>
      </w:r>
      <w:r w:rsidR="00FE2ADA">
        <w:t xml:space="preserve"> Federal Circuit, having decided three </w:t>
      </w:r>
      <w:r w:rsidR="00F41D6D">
        <w:t xml:space="preserve">contentious </w:t>
      </w:r>
      <w:r w:rsidR="00FE2ADA">
        <w:t>cases on the issue in two years, denying a petition for rehe</w:t>
      </w:r>
      <w:r w:rsidR="00832E69">
        <w:t xml:space="preserve">aring en banc by a vote of five to </w:t>
      </w:r>
      <w:r w:rsidR="00FE2ADA">
        <w:t>five.  In between are several fractured panel decisions of questionable reasoning</w:t>
      </w:r>
      <w:r w:rsidR="00116AF0">
        <w:t xml:space="preserve"> and numerous dissenting and concurring opinions </w:t>
      </w:r>
      <w:r w:rsidR="00F41D6D">
        <w:t>discussing matters as wide-ranging as</w:t>
      </w:r>
      <w:r w:rsidR="00116AF0">
        <w:t xml:space="preserve"> preclusion law, the proper interpretation of the Patent Act, separation of powers, and </w:t>
      </w:r>
      <w:r w:rsidR="004B4B17">
        <w:t xml:space="preserve">worries about the </w:t>
      </w:r>
      <w:r w:rsidR="00116AF0">
        <w:t>fundamental fairness</w:t>
      </w:r>
      <w:r w:rsidR="004B4B17">
        <w:t xml:space="preserve"> of patent proceedings</w:t>
      </w:r>
      <w:r w:rsidR="00FE2ADA">
        <w:t xml:space="preserve">.  </w:t>
      </w:r>
      <w:r w:rsidR="00F41D6D">
        <w:t>T</w:t>
      </w:r>
      <w:r w:rsidR="00FE2ADA">
        <w:t xml:space="preserve">he question of how to handle conflicting </w:t>
      </w:r>
      <w:r w:rsidR="00E82FBD">
        <w:t xml:space="preserve">validity </w:t>
      </w:r>
      <w:r w:rsidR="00FE2ADA">
        <w:t>decisions between the courts and the PTO has</w:t>
      </w:r>
      <w:r w:rsidR="00F41D6D">
        <w:t>, in short,</w:t>
      </w:r>
      <w:r w:rsidR="00FE2ADA">
        <w:t xml:space="preserve"> emerged as one of the most contentious issues in patent law today.  </w:t>
      </w:r>
      <w:r w:rsidR="00A31C0E">
        <w:t>A deep dive</w:t>
      </w:r>
      <w:r w:rsidR="002054FE">
        <w:t xml:space="preserve"> into </w:t>
      </w:r>
      <w:r w:rsidR="00F41D6D">
        <w:t xml:space="preserve">the Federal Circuit </w:t>
      </w:r>
      <w:r w:rsidR="00E82FBD">
        <w:t xml:space="preserve">case </w:t>
      </w:r>
      <w:r w:rsidR="00F41D6D">
        <w:t>law governing</w:t>
      </w:r>
      <w:r w:rsidR="00A31C0E">
        <w:t xml:space="preserve"> that question </w:t>
      </w:r>
      <w:r w:rsidR="002054FE">
        <w:t>provides a basis for the n</w:t>
      </w:r>
      <w:r w:rsidR="00FE2ADA">
        <w:t xml:space="preserve">ormative analysis </w:t>
      </w:r>
      <w:r w:rsidR="002054FE">
        <w:t>that follows</w:t>
      </w:r>
      <w:r w:rsidR="00FE2ADA">
        <w:t xml:space="preserve">. </w:t>
      </w:r>
    </w:p>
    <w:p w14:paraId="7FF1DDD4" w14:textId="17B213A0" w:rsidR="00E613AE" w:rsidRDefault="00EA5B5C" w:rsidP="001B39B6">
      <w:pPr>
        <w:keepNext/>
        <w:tabs>
          <w:tab w:val="left" w:pos="360"/>
        </w:tabs>
        <w:ind w:firstLine="0"/>
        <w:jc w:val="center"/>
      </w:pPr>
      <w:r>
        <w:t>A.</w:t>
      </w:r>
      <w:r>
        <w:tab/>
      </w:r>
      <w:r w:rsidR="00784884">
        <w:t>Foreshadowing the Absolute Finality Rule</w:t>
      </w:r>
    </w:p>
    <w:p w14:paraId="19C12B07" w14:textId="6899CE00" w:rsidR="00784884" w:rsidRDefault="00235479" w:rsidP="00FB0F9A">
      <w:pPr>
        <w:pStyle w:val="ListParagraph"/>
        <w:ind w:left="0"/>
        <w:jc w:val="both"/>
      </w:pPr>
      <w:r>
        <w:t>U</w:t>
      </w:r>
      <w:r w:rsidR="00E613AE">
        <w:t>ntil 2013,</w:t>
      </w:r>
      <w:r w:rsidR="002054FE">
        <w:t xml:space="preserve"> </w:t>
      </w:r>
      <w:r w:rsidR="00E613AE">
        <w:t xml:space="preserve">the Federal Circuit had addressed </w:t>
      </w:r>
      <w:r w:rsidR="00116AF0">
        <w:t xml:space="preserve">the question of how the PTO’s </w:t>
      </w:r>
      <w:r w:rsidR="00E82FBD">
        <w:t>invalidation</w:t>
      </w:r>
      <w:r w:rsidR="00116AF0">
        <w:t xml:space="preserve"> of a patent affects ongoing </w:t>
      </w:r>
      <w:r w:rsidR="009B339B">
        <w:t>patent infringement</w:t>
      </w:r>
      <w:r w:rsidR="00116AF0">
        <w:t xml:space="preserve"> proceedings </w:t>
      </w:r>
      <w:r w:rsidR="00784884">
        <w:t xml:space="preserve">in only two, unpublished </w:t>
      </w:r>
      <w:r w:rsidR="00E613AE">
        <w:t>opinions</w:t>
      </w:r>
      <w:r w:rsidR="00784884">
        <w:t>.</w:t>
      </w:r>
      <w:r w:rsidR="00881E35">
        <w:rPr>
          <w:rStyle w:val="FootnoteReference"/>
        </w:rPr>
        <w:footnoteReference w:id="141"/>
      </w:r>
      <w:r w:rsidR="00784884">
        <w:t xml:space="preserve">  Although the opinions were not precedential, they </w:t>
      </w:r>
      <w:r w:rsidR="00784884">
        <w:lastRenderedPageBreak/>
        <w:t>foreshadowed the court’s current approach, which gives precedence to a PTO decision of invalidity unless district court litigation is absolutely final.</w:t>
      </w:r>
    </w:p>
    <w:p w14:paraId="75C21810" w14:textId="41CD23E1" w:rsidR="00124DA2" w:rsidRDefault="00124DA2" w:rsidP="00FB0F9A">
      <w:pPr>
        <w:pStyle w:val="ListParagraph"/>
        <w:ind w:left="0"/>
        <w:jc w:val="both"/>
      </w:pPr>
      <w:r>
        <w:t xml:space="preserve">In the first </w:t>
      </w:r>
      <w:r w:rsidR="00784884">
        <w:t>unpublished decision</w:t>
      </w:r>
      <w:r>
        <w:t xml:space="preserve">, </w:t>
      </w:r>
      <w:r>
        <w:rPr>
          <w:i/>
        </w:rPr>
        <w:t xml:space="preserve">Standard Havens Products, Inc. v. </w:t>
      </w:r>
      <w:proofErr w:type="spellStart"/>
      <w:r>
        <w:rPr>
          <w:i/>
        </w:rPr>
        <w:t>Gencor</w:t>
      </w:r>
      <w:proofErr w:type="spellEnd"/>
      <w:r>
        <w:rPr>
          <w:i/>
        </w:rPr>
        <w:t xml:space="preserve"> Industries, Inc.</w:t>
      </w:r>
      <w:r>
        <w:t>,</w:t>
      </w:r>
      <w:r w:rsidR="00784884">
        <w:rPr>
          <w:rStyle w:val="FootnoteReference"/>
        </w:rPr>
        <w:footnoteReference w:id="142"/>
      </w:r>
      <w:r w:rsidR="00784884">
        <w:t xml:space="preserve"> </w:t>
      </w:r>
      <w:r>
        <w:t xml:space="preserve">the U.S. District Court for the Western District of Missouri had ruled that Standard Havens’ patent was infringed by </w:t>
      </w:r>
      <w:proofErr w:type="spellStart"/>
      <w:r>
        <w:t>Gencor</w:t>
      </w:r>
      <w:proofErr w:type="spellEnd"/>
      <w:r w:rsidR="0033106F">
        <w:t xml:space="preserve"> and that </w:t>
      </w:r>
      <w:proofErr w:type="spellStart"/>
      <w:r w:rsidR="0033106F">
        <w:t>Gencor</w:t>
      </w:r>
      <w:proofErr w:type="spellEnd"/>
      <w:r w:rsidR="0033106F">
        <w:t xml:space="preserve"> failed to prove that the patent was invalid</w:t>
      </w:r>
      <w:r w:rsidR="008401AF">
        <w:t>.</w:t>
      </w:r>
      <w:r w:rsidR="008401AF">
        <w:rPr>
          <w:rStyle w:val="FootnoteReference"/>
        </w:rPr>
        <w:footnoteReference w:id="143"/>
      </w:r>
      <w:r w:rsidR="008401AF">
        <w:t xml:space="preserve">  The court </w:t>
      </w:r>
      <w:r>
        <w:t>awarded $5.9 million in damages</w:t>
      </w:r>
      <w:r w:rsidR="008401AF">
        <w:t xml:space="preserve"> and entered an injunction against </w:t>
      </w:r>
      <w:proofErr w:type="spellStart"/>
      <w:r w:rsidR="008401AF">
        <w:t>Gencor’s</w:t>
      </w:r>
      <w:proofErr w:type="spellEnd"/>
      <w:r w:rsidR="008401AF">
        <w:t xml:space="preserve"> continued infringement</w:t>
      </w:r>
      <w:r>
        <w:t>.</w:t>
      </w:r>
      <w:r w:rsidR="008401AF">
        <w:rPr>
          <w:rStyle w:val="FootnoteReference"/>
        </w:rPr>
        <w:footnoteReference w:id="144"/>
      </w:r>
      <w:r>
        <w:t xml:space="preserve">  On appeal, the Federal Circuit affirmed the rulings on validity and infringemen</w:t>
      </w:r>
      <w:r w:rsidR="00235479">
        <w:t xml:space="preserve">t but </w:t>
      </w:r>
      <w:r w:rsidR="008401AF">
        <w:t>remanded for further proceedings related to damages and the injunction.</w:t>
      </w:r>
      <w:r>
        <w:rPr>
          <w:rStyle w:val="FootnoteReference"/>
        </w:rPr>
        <w:footnoteReference w:id="145"/>
      </w:r>
      <w:r>
        <w:t xml:space="preserve">  While that </w:t>
      </w:r>
      <w:r w:rsidR="008401AF">
        <w:t xml:space="preserve">Federal Circuit </w:t>
      </w:r>
      <w:r>
        <w:t xml:space="preserve">appeal </w:t>
      </w:r>
      <w:r w:rsidR="00894059">
        <w:t>was</w:t>
      </w:r>
      <w:r>
        <w:t xml:space="preserve"> pending, the PTO, at </w:t>
      </w:r>
      <w:proofErr w:type="spellStart"/>
      <w:r>
        <w:t>Gencor’s</w:t>
      </w:r>
      <w:proofErr w:type="spellEnd"/>
      <w:r>
        <w:t xml:space="preserve"> behest, </w:t>
      </w:r>
      <w:r w:rsidR="008401AF">
        <w:t>had begun</w:t>
      </w:r>
      <w:r>
        <w:t xml:space="preserve"> an ex parte reexamination</w:t>
      </w:r>
      <w:r w:rsidR="00D260CF">
        <w:t xml:space="preserve"> of Standard Haven</w:t>
      </w:r>
      <w:r w:rsidR="00B85EED">
        <w:t>s</w:t>
      </w:r>
      <w:r w:rsidR="00D260CF">
        <w:t>’</w:t>
      </w:r>
      <w:r w:rsidR="00B85EED">
        <w:t xml:space="preserve"> patent</w:t>
      </w:r>
      <w:r>
        <w:t>.</w:t>
      </w:r>
      <w:r>
        <w:rPr>
          <w:rStyle w:val="FootnoteReference"/>
        </w:rPr>
        <w:footnoteReference w:id="146"/>
      </w:r>
      <w:r>
        <w:t xml:space="preserve">  </w:t>
      </w:r>
      <w:r w:rsidR="00235479">
        <w:t>T</w:t>
      </w:r>
      <w:r>
        <w:t xml:space="preserve">he PTO </w:t>
      </w:r>
      <w:r w:rsidR="00235479">
        <w:t xml:space="preserve">ultimately </w:t>
      </w:r>
      <w:r w:rsidR="001F3BB7">
        <w:t>invalidated</w:t>
      </w:r>
      <w:r>
        <w:t xml:space="preserve"> the patent claims Standard Havens had asserted</w:t>
      </w:r>
      <w:r w:rsidR="00235479">
        <w:t xml:space="preserve"> in the infringement litigation,</w:t>
      </w:r>
      <w:r>
        <w:rPr>
          <w:rStyle w:val="FootnoteReference"/>
        </w:rPr>
        <w:footnoteReference w:id="147"/>
      </w:r>
      <w:r w:rsidR="00235479">
        <w:t xml:space="preserve"> and </w:t>
      </w:r>
      <w:r>
        <w:t>Standard Havens appealed that decision by filing a civil suit in the U.S. District Court for the District of Columbia.</w:t>
      </w:r>
      <w:r>
        <w:rPr>
          <w:rStyle w:val="FootnoteReference"/>
        </w:rPr>
        <w:footnoteReference w:id="148"/>
      </w:r>
      <w:r>
        <w:t xml:space="preserve">  </w:t>
      </w:r>
    </w:p>
    <w:p w14:paraId="32221B3E" w14:textId="093A56E7" w:rsidR="00124DA2" w:rsidRDefault="00124DA2" w:rsidP="00124DA2">
      <w:pPr>
        <w:pStyle w:val="ListParagraph"/>
        <w:ind w:left="0"/>
        <w:jc w:val="both"/>
      </w:pPr>
      <w:r>
        <w:t xml:space="preserve">While that suit was pending, </w:t>
      </w:r>
      <w:proofErr w:type="spellStart"/>
      <w:r>
        <w:t>Gencor</w:t>
      </w:r>
      <w:proofErr w:type="spellEnd"/>
      <w:r>
        <w:t xml:space="preserve"> filed a motion in the Western District of Missouri to stay further proceedings in the </w:t>
      </w:r>
      <w:r w:rsidR="00235479">
        <w:t xml:space="preserve">infringement </w:t>
      </w:r>
      <w:r>
        <w:t>case.</w:t>
      </w:r>
      <w:r>
        <w:rPr>
          <w:rStyle w:val="FootnoteReference"/>
        </w:rPr>
        <w:footnoteReference w:id="149"/>
      </w:r>
      <w:r>
        <w:t xml:space="preserve">  The </w:t>
      </w:r>
      <w:r w:rsidR="00E336A5">
        <w:t xml:space="preserve">Missouri </w:t>
      </w:r>
      <w:r>
        <w:t>district court denied the motion</w:t>
      </w:r>
      <w:r w:rsidR="006B644B">
        <w:t>,</w:t>
      </w:r>
      <w:r w:rsidR="00C81A52">
        <w:t xml:space="preserve"> reasoning that, because of </w:t>
      </w:r>
      <w:r>
        <w:t xml:space="preserve">the Federal Circuit’s affirmance of </w:t>
      </w:r>
      <w:r w:rsidR="00E336A5">
        <w:t>its</w:t>
      </w:r>
      <w:r w:rsidR="00235479">
        <w:t xml:space="preserve"> prior</w:t>
      </w:r>
      <w:r>
        <w:t xml:space="preserve"> ruling on validity and infringement, Standard Havens possessed “</w:t>
      </w:r>
      <w:r w:rsidRPr="00A27FCF">
        <w:t>the equivalent of a final judgment</w:t>
      </w:r>
      <w:r>
        <w:t>” on those issues.</w:t>
      </w:r>
      <w:r>
        <w:rPr>
          <w:rStyle w:val="FootnoteReference"/>
        </w:rPr>
        <w:footnoteReference w:id="150"/>
      </w:r>
      <w:r>
        <w:t xml:space="preserve">  </w:t>
      </w:r>
      <w:r w:rsidR="00235479">
        <w:t xml:space="preserve">Considering the potential impact of a future ruling by the D.C. district court, the Missouri district court noted </w:t>
      </w:r>
      <w:r>
        <w:t>that it was aware of “</w:t>
      </w:r>
      <w:r w:rsidRPr="00A27FCF">
        <w:t>no case or rule of law</w:t>
      </w:r>
      <w:r>
        <w:t xml:space="preserve"> that </w:t>
      </w:r>
      <w:r w:rsidRPr="00A27FCF">
        <w:t>holds that a final judgment in a separate lawsuit, in a separate jurisdiction, which may or may not be rendered at some undetermined point in the future would contr</w:t>
      </w:r>
      <w:r>
        <w:t>ol and, indeed, void this Court’</w:t>
      </w:r>
      <w:r w:rsidRPr="00A27FCF">
        <w:t>s judgment in this case</w:t>
      </w:r>
      <w:r>
        <w:t>.”</w:t>
      </w:r>
      <w:r>
        <w:rPr>
          <w:rStyle w:val="FootnoteReference"/>
        </w:rPr>
        <w:footnoteReference w:id="151"/>
      </w:r>
      <w:r>
        <w:t xml:space="preserve">  </w:t>
      </w:r>
    </w:p>
    <w:p w14:paraId="617BF60F" w14:textId="520EBE3A" w:rsidR="00124DA2" w:rsidRDefault="00124DA2" w:rsidP="00F37412">
      <w:pPr>
        <w:pStyle w:val="ListParagraph"/>
        <w:widowControl w:val="0"/>
        <w:ind w:left="0"/>
        <w:jc w:val="both"/>
      </w:pPr>
      <w:r>
        <w:t xml:space="preserve">The Federal Circuit reversed the district court’s denial of </w:t>
      </w:r>
      <w:proofErr w:type="spellStart"/>
      <w:r w:rsidR="00235479">
        <w:t>Gencor’s</w:t>
      </w:r>
      <w:proofErr w:type="spellEnd"/>
      <w:r>
        <w:t xml:space="preserve"> stay motion.</w:t>
      </w:r>
      <w:r>
        <w:rPr>
          <w:rStyle w:val="FootnoteReference"/>
        </w:rPr>
        <w:footnoteReference w:id="152"/>
      </w:r>
      <w:r>
        <w:t xml:space="preserve">  In a terse, unpublished opinion that provided little reasoning (and cited </w:t>
      </w:r>
      <w:r>
        <w:lastRenderedPageBreak/>
        <w:t xml:space="preserve">no pertinent authority), the court </w:t>
      </w:r>
      <w:r w:rsidR="001A0431">
        <w:t>wrote</w:t>
      </w:r>
      <w:r>
        <w:t xml:space="preserve">:  </w:t>
      </w:r>
    </w:p>
    <w:p w14:paraId="6B9B83CD" w14:textId="77777777" w:rsidR="00124DA2" w:rsidRDefault="00124DA2" w:rsidP="00F37412">
      <w:pPr>
        <w:pStyle w:val="ListParagraph"/>
        <w:widowControl w:val="0"/>
        <w:ind w:left="360" w:right="360" w:firstLine="0"/>
        <w:jc w:val="both"/>
      </w:pPr>
      <w:r>
        <w:t xml:space="preserve">The district court incorrectly concluded that the reexamination decision can have no effect on this infringement suit even if the reexamination decision becomes final.  As a matter of </w:t>
      </w:r>
      <w:proofErr w:type="gramStart"/>
      <w:r>
        <w:t>law, . . .</w:t>
      </w:r>
      <w:proofErr w:type="gramEnd"/>
      <w:r>
        <w:t xml:space="preserve"> if the reexamination decision of unpatentability is upheld in the court action . . . , the injunction would thereby immediately become inoperative.  In addition, if a final decision of unpatentability means the patent was void </w:t>
      </w:r>
      <w:r w:rsidRPr="00DB1FE4">
        <w:rPr>
          <w:i/>
        </w:rPr>
        <w:t>ab initio</w:t>
      </w:r>
      <w:r>
        <w:t>, then damages would also be precluded.</w:t>
      </w:r>
      <w:r>
        <w:rPr>
          <w:rStyle w:val="FootnoteReference"/>
        </w:rPr>
        <w:footnoteReference w:id="153"/>
      </w:r>
    </w:p>
    <w:p w14:paraId="0B752AAA" w14:textId="2DCA6318" w:rsidR="00124DA2" w:rsidRPr="009F7F0D" w:rsidRDefault="00E82FBD" w:rsidP="003A5FF3">
      <w:pPr>
        <w:pStyle w:val="ListParagraph"/>
        <w:ind w:left="0"/>
        <w:jc w:val="both"/>
      </w:pPr>
      <w:r>
        <w:t>Nearly f</w:t>
      </w:r>
      <w:r w:rsidR="00C81A52">
        <w:t>ifteen years later, t</w:t>
      </w:r>
      <w:r w:rsidR="00124DA2">
        <w:t xml:space="preserve">he Federal Circuit </w:t>
      </w:r>
      <w:r w:rsidR="00C81A52">
        <w:t>again encountered conflicting court</w:t>
      </w:r>
      <w:r>
        <w:t xml:space="preserve"> and </w:t>
      </w:r>
      <w:r w:rsidR="00C81A52">
        <w:t xml:space="preserve">PTO decisions in </w:t>
      </w:r>
      <w:r w:rsidR="006B644B">
        <w:t>concurrent</w:t>
      </w:r>
      <w:r w:rsidR="00C81A52">
        <w:t xml:space="preserve"> proceedings.  In </w:t>
      </w:r>
      <w:proofErr w:type="spellStart"/>
      <w:r w:rsidR="00C81A52">
        <w:rPr>
          <w:i/>
        </w:rPr>
        <w:t>Translogic</w:t>
      </w:r>
      <w:proofErr w:type="spellEnd"/>
      <w:r w:rsidR="00C81A52">
        <w:rPr>
          <w:i/>
        </w:rPr>
        <w:t xml:space="preserve"> Technology, Inc. v. Hitachi, Ltd.</w:t>
      </w:r>
      <w:r w:rsidR="00C81A52">
        <w:t>, the Federal Circuit</w:t>
      </w:r>
      <w:r w:rsidR="00124DA2">
        <w:t xml:space="preserve"> vacated a district court </w:t>
      </w:r>
      <w:r w:rsidR="00235479">
        <w:t>decision</w:t>
      </w:r>
      <w:r w:rsidR="00124DA2">
        <w:t xml:space="preserve"> awarding damages in light of the PTO’s </w:t>
      </w:r>
      <w:r w:rsidR="00235479">
        <w:t xml:space="preserve">subsequent </w:t>
      </w:r>
      <w:r>
        <w:t>invalidation</w:t>
      </w:r>
      <w:r w:rsidR="00124DA2">
        <w:t xml:space="preserve"> of the patent.</w:t>
      </w:r>
      <w:r w:rsidR="00124DA2">
        <w:rPr>
          <w:rStyle w:val="FootnoteReference"/>
        </w:rPr>
        <w:footnoteReference w:id="154"/>
      </w:r>
      <w:r w:rsidR="00124DA2">
        <w:t xml:space="preserve">  In that case, a jury </w:t>
      </w:r>
      <w:r w:rsidR="00C81A52">
        <w:t xml:space="preserve">had </w:t>
      </w:r>
      <w:r w:rsidR="00124DA2">
        <w:t xml:space="preserve">awarded </w:t>
      </w:r>
      <w:proofErr w:type="spellStart"/>
      <w:r w:rsidR="00124DA2">
        <w:t>Translogic</w:t>
      </w:r>
      <w:proofErr w:type="spellEnd"/>
      <w:r w:rsidR="00124DA2">
        <w:t xml:space="preserve"> $86.5 million in damages for infringement.</w:t>
      </w:r>
      <w:r w:rsidR="00124DA2">
        <w:rPr>
          <w:rStyle w:val="FootnoteReference"/>
        </w:rPr>
        <w:footnoteReference w:id="155"/>
      </w:r>
      <w:r w:rsidR="00124DA2">
        <w:t xml:space="preserve">  While post-verdict motions were pending </w:t>
      </w:r>
      <w:r w:rsidR="00235479">
        <w:t>in</w:t>
      </w:r>
      <w:r w:rsidR="00124DA2">
        <w:t xml:space="preserve"> the district court, the PTO </w:t>
      </w:r>
      <w:r w:rsidR="000D6E33">
        <w:t>invalidated</w:t>
      </w:r>
      <w:r w:rsidR="00124DA2">
        <w:t xml:space="preserve"> the asserted claims of </w:t>
      </w:r>
      <w:proofErr w:type="spellStart"/>
      <w:r w:rsidR="00124DA2">
        <w:t>Translogic’s</w:t>
      </w:r>
      <w:proofErr w:type="spellEnd"/>
      <w:r w:rsidR="00124DA2">
        <w:t xml:space="preserve"> patent in a reexamination proceeding requested by</w:t>
      </w:r>
      <w:r w:rsidR="003A5FF3">
        <w:t xml:space="preserve"> </w:t>
      </w:r>
      <w:r w:rsidR="00235479">
        <w:t xml:space="preserve">Hitachi, </w:t>
      </w:r>
      <w:r w:rsidR="003A5FF3">
        <w:t>the defendant</w:t>
      </w:r>
      <w:r w:rsidR="00235479">
        <w:t xml:space="preserve"> in the infringement </w:t>
      </w:r>
      <w:r w:rsidR="00050E09">
        <w:t>case</w:t>
      </w:r>
      <w:r w:rsidR="00124DA2">
        <w:t>.</w:t>
      </w:r>
      <w:r w:rsidR="00124DA2">
        <w:rPr>
          <w:rStyle w:val="FootnoteReference"/>
        </w:rPr>
        <w:footnoteReference w:id="156"/>
      </w:r>
      <w:r w:rsidR="00124DA2">
        <w:t xml:space="preserve">  The district court eventually entered judgment on the jury verdict, and both Hitachi’s appeal in the infringement case and </w:t>
      </w:r>
      <w:proofErr w:type="spellStart"/>
      <w:r w:rsidR="00124DA2">
        <w:t>Tr</w:t>
      </w:r>
      <w:r w:rsidR="00C81A52">
        <w:t>anslogic’s</w:t>
      </w:r>
      <w:proofErr w:type="spellEnd"/>
      <w:r w:rsidR="00C81A52">
        <w:t xml:space="preserve"> appeal from the PTO</w:t>
      </w:r>
      <w:r w:rsidR="00124DA2">
        <w:t xml:space="preserve"> reexamination </w:t>
      </w:r>
      <w:r w:rsidR="00D20C4B">
        <w:t>ended up</w:t>
      </w:r>
      <w:r w:rsidR="00124DA2">
        <w:t xml:space="preserve"> in the Federal Circuit at the same time.  In one opinion, the Federal Circuit </w:t>
      </w:r>
      <w:r w:rsidR="00050E09">
        <w:t xml:space="preserve">affirmed the PTO </w:t>
      </w:r>
      <w:r w:rsidR="00124DA2">
        <w:t xml:space="preserve">decision, </w:t>
      </w:r>
      <w:r w:rsidR="00235479">
        <w:t>holding</w:t>
      </w:r>
      <w:r w:rsidR="00124DA2">
        <w:t xml:space="preserve"> that the claims were invalid for obviousness.</w:t>
      </w:r>
      <w:r w:rsidR="00124DA2">
        <w:rPr>
          <w:rStyle w:val="FootnoteReference"/>
        </w:rPr>
        <w:footnoteReference w:id="157"/>
      </w:r>
      <w:r w:rsidR="00124DA2">
        <w:t xml:space="preserve">  Then, in an unpublished opinion issued the same day, the Federal Circuit vacated the judgment in the infringement litigation and remanded </w:t>
      </w:r>
      <w:r w:rsidR="00235479">
        <w:t>with instructions that the district court dismiss the case</w:t>
      </w:r>
      <w:r w:rsidR="00124DA2">
        <w:t>.</w:t>
      </w:r>
      <w:r w:rsidR="00124DA2">
        <w:rPr>
          <w:rStyle w:val="FootnoteReference"/>
        </w:rPr>
        <w:footnoteReference w:id="158"/>
      </w:r>
      <w:r w:rsidR="00124DA2">
        <w:t xml:space="preserve">  As in </w:t>
      </w:r>
      <w:r w:rsidR="00124DA2">
        <w:rPr>
          <w:i/>
        </w:rPr>
        <w:t>Standard Havens</w:t>
      </w:r>
      <w:r w:rsidR="00124DA2">
        <w:t xml:space="preserve">, the </w:t>
      </w:r>
      <w:r w:rsidR="00235479">
        <w:t>Federal Circuit</w:t>
      </w:r>
      <w:r w:rsidR="00124DA2">
        <w:t xml:space="preserve"> </w:t>
      </w:r>
      <w:r w:rsidR="00235479">
        <w:t xml:space="preserve">cited no authority for the </w:t>
      </w:r>
      <w:r w:rsidR="00C81A52">
        <w:t>principle</w:t>
      </w:r>
      <w:r w:rsidR="00235479">
        <w:t xml:space="preserve"> that the PTO’s decision </w:t>
      </w:r>
      <w:r>
        <w:t xml:space="preserve">required </w:t>
      </w:r>
      <w:proofErr w:type="spellStart"/>
      <w:r>
        <w:t>vacatur</w:t>
      </w:r>
      <w:proofErr w:type="spellEnd"/>
      <w:r>
        <w:t xml:space="preserve"> of</w:t>
      </w:r>
      <w:r w:rsidR="00235479">
        <w:t xml:space="preserve"> the </w:t>
      </w:r>
      <w:r w:rsidR="00EE7E94">
        <w:t xml:space="preserve">district </w:t>
      </w:r>
      <w:r w:rsidR="006B644B">
        <w:t xml:space="preserve">court’s </w:t>
      </w:r>
      <w:r w:rsidR="004B4B17">
        <w:t>prior ruling on</w:t>
      </w:r>
      <w:r w:rsidR="006B644B">
        <w:t xml:space="preserve"> validity and infringement</w:t>
      </w:r>
      <w:r w:rsidR="00235479">
        <w:t>.</w:t>
      </w:r>
      <w:r w:rsidR="00124DA2">
        <w:rPr>
          <w:rStyle w:val="FootnoteReference"/>
        </w:rPr>
        <w:footnoteReference w:id="159"/>
      </w:r>
      <w:r w:rsidR="00124DA2">
        <w:t xml:space="preserve">  </w:t>
      </w:r>
    </w:p>
    <w:p w14:paraId="07017BC5" w14:textId="272541E3" w:rsidR="0082778F" w:rsidRDefault="00E613AE" w:rsidP="00301D19">
      <w:pPr>
        <w:keepNext/>
        <w:tabs>
          <w:tab w:val="left" w:pos="360"/>
        </w:tabs>
        <w:ind w:firstLine="0"/>
        <w:jc w:val="center"/>
      </w:pPr>
      <w:r>
        <w:t>B</w:t>
      </w:r>
      <w:r w:rsidR="0082778F">
        <w:t>.</w:t>
      </w:r>
      <w:r w:rsidR="0082778F">
        <w:tab/>
      </w:r>
      <w:r w:rsidR="004663E8">
        <w:t>T</w:t>
      </w:r>
      <w:r w:rsidR="00974C8A">
        <w:t>he Absolute Finality Rule</w:t>
      </w:r>
    </w:p>
    <w:p w14:paraId="0A7C7FBB" w14:textId="7396B71E" w:rsidR="004663E8" w:rsidRDefault="00441BD2" w:rsidP="004663E8">
      <w:pPr>
        <w:tabs>
          <w:tab w:val="left" w:pos="360"/>
        </w:tabs>
        <w:jc w:val="both"/>
      </w:pPr>
      <w:r>
        <w:t xml:space="preserve">Although the Federal Circuit rarely considered how the PTO’s </w:t>
      </w:r>
      <w:r w:rsidR="00E82FBD">
        <w:t>invalidation</w:t>
      </w:r>
      <w:r w:rsidR="00B85EED">
        <w:t xml:space="preserve"> of a patent affect</w:t>
      </w:r>
      <w:r w:rsidR="00210422">
        <w:t>s</w:t>
      </w:r>
      <w:r>
        <w:t xml:space="preserve"> </w:t>
      </w:r>
      <w:r w:rsidR="003C7872">
        <w:t>concurrent</w:t>
      </w:r>
      <w:r>
        <w:t xml:space="preserve"> infringement litigation</w:t>
      </w:r>
      <w:r w:rsidR="003C7872">
        <w:t xml:space="preserve"> in the first thirty years of the</w:t>
      </w:r>
      <w:r w:rsidR="00E82FBD">
        <w:t xml:space="preserve"> court’s existence, </w:t>
      </w:r>
      <w:r w:rsidR="003C7872">
        <w:t xml:space="preserve">the court has </w:t>
      </w:r>
      <w:r>
        <w:t xml:space="preserve">decided three </w:t>
      </w:r>
      <w:r w:rsidR="00050E09">
        <w:t xml:space="preserve">major </w:t>
      </w:r>
      <w:r>
        <w:t>cases</w:t>
      </w:r>
      <w:r w:rsidR="005838E1">
        <w:t xml:space="preserve"> on the issue</w:t>
      </w:r>
      <w:r>
        <w:t xml:space="preserve"> </w:t>
      </w:r>
      <w:r w:rsidR="005838E1">
        <w:t>in the past two years</w:t>
      </w:r>
      <w:r w:rsidR="003C7872">
        <w:t xml:space="preserve">.  </w:t>
      </w:r>
      <w:r w:rsidR="00B16FAD">
        <w:t xml:space="preserve">The first </w:t>
      </w:r>
      <w:r w:rsidR="00F91F67">
        <w:t>case,</w:t>
      </w:r>
      <w:r w:rsidR="00893775" w:rsidRPr="00893775">
        <w:t xml:space="preserve"> </w:t>
      </w:r>
      <w:r w:rsidR="00893775" w:rsidRPr="00893775">
        <w:rPr>
          <w:i/>
        </w:rPr>
        <w:t>Fresenius USA, Inc. v. Baxter International, Inc.</w:t>
      </w:r>
      <w:r w:rsidR="00893775">
        <w:t>,</w:t>
      </w:r>
      <w:r w:rsidR="00E174E6">
        <w:rPr>
          <w:rStyle w:val="FootnoteReference"/>
        </w:rPr>
        <w:footnoteReference w:id="160"/>
      </w:r>
      <w:r w:rsidR="00974C8A">
        <w:t xml:space="preserve"> </w:t>
      </w:r>
      <w:r w:rsidR="00974C8A">
        <w:lastRenderedPageBreak/>
        <w:t>confirmed what the Federal Circuit had s</w:t>
      </w:r>
      <w:r w:rsidR="00A31C0E">
        <w:t xml:space="preserve">uggested in its prior </w:t>
      </w:r>
      <w:r w:rsidR="00974C8A">
        <w:t xml:space="preserve">unpublished opinions:  </w:t>
      </w:r>
      <w:r w:rsidR="004663E8">
        <w:t xml:space="preserve">a PTO decision of invalidity </w:t>
      </w:r>
      <w:r w:rsidR="000D6E33">
        <w:t>takes precedence over</w:t>
      </w:r>
      <w:r w:rsidR="004663E8">
        <w:t xml:space="preserve"> any court </w:t>
      </w:r>
      <w:r w:rsidR="00F91F67">
        <w:t>ruling</w:t>
      </w:r>
      <w:r w:rsidR="004663E8">
        <w:t xml:space="preserve"> </w:t>
      </w:r>
      <w:r w:rsidR="0033106F">
        <w:t>on the issue of validity</w:t>
      </w:r>
      <w:r w:rsidR="004663E8">
        <w:t xml:space="preserve"> </w:t>
      </w:r>
      <w:r w:rsidR="00371FD1">
        <w:t>so</w:t>
      </w:r>
      <w:r w:rsidR="004663E8">
        <w:t xml:space="preserve"> long </w:t>
      </w:r>
      <w:r w:rsidR="00210422">
        <w:t xml:space="preserve">the court case remains pending.  </w:t>
      </w:r>
      <w:r w:rsidR="00627D89">
        <w:t>The</w:t>
      </w:r>
      <w:r w:rsidR="004663E8">
        <w:t xml:space="preserve"> second </w:t>
      </w:r>
      <w:r w:rsidR="00F91F67">
        <w:t>case</w:t>
      </w:r>
      <w:r w:rsidR="004663E8">
        <w:t xml:space="preserve">, </w:t>
      </w:r>
      <w:proofErr w:type="spellStart"/>
      <w:r w:rsidR="004663E8">
        <w:rPr>
          <w:i/>
        </w:rPr>
        <w:t>Versata</w:t>
      </w:r>
      <w:proofErr w:type="spellEnd"/>
      <w:r w:rsidR="00E174E6">
        <w:rPr>
          <w:i/>
        </w:rPr>
        <w:t xml:space="preserve"> Computer Industry Solutions, Inc. v. </w:t>
      </w:r>
      <w:r w:rsidR="00E174E6" w:rsidRPr="00F91F67">
        <w:rPr>
          <w:i/>
        </w:rPr>
        <w:t>SAP AG</w:t>
      </w:r>
      <w:r w:rsidR="00E174E6">
        <w:t>,</w:t>
      </w:r>
      <w:r w:rsidR="00E174E6">
        <w:rPr>
          <w:rStyle w:val="FootnoteReference"/>
        </w:rPr>
        <w:footnoteReference w:id="161"/>
      </w:r>
      <w:r w:rsidR="00E174E6">
        <w:t xml:space="preserve"> </w:t>
      </w:r>
      <w:r w:rsidR="004663E8" w:rsidRPr="00E174E6">
        <w:t>illustrates</w:t>
      </w:r>
      <w:r w:rsidR="004663E8">
        <w:t xml:space="preserve"> the immediate </w:t>
      </w:r>
      <w:r w:rsidR="00E174E6">
        <w:t>impact</w:t>
      </w:r>
      <w:r w:rsidR="004663E8">
        <w:t xml:space="preserve"> of </w:t>
      </w:r>
      <w:r w:rsidR="00627D89">
        <w:t xml:space="preserve">the Federal Circuit’s adoption of the </w:t>
      </w:r>
      <w:r w:rsidR="004663E8">
        <w:t>absolute finality rule</w:t>
      </w:r>
      <w:r w:rsidR="00E174E6">
        <w:t xml:space="preserve">, with </w:t>
      </w:r>
      <w:r w:rsidR="00156876">
        <w:t xml:space="preserve">the patent holder </w:t>
      </w:r>
      <w:r w:rsidR="00E82FBD">
        <w:t xml:space="preserve">engaging in complex procedural maneuvering to expedite the conclusion of infringement litigation </w:t>
      </w:r>
      <w:r w:rsidR="00156876">
        <w:t>and the infringer</w:t>
      </w:r>
      <w:r w:rsidR="00E174E6">
        <w:t xml:space="preserve"> </w:t>
      </w:r>
      <w:r w:rsidR="001F3BB7">
        <w:t>plotting</w:t>
      </w:r>
      <w:r w:rsidR="00E82FBD">
        <w:t xml:space="preserve"> to delay the litigation to take advantage of a PTO ruling of invalidity</w:t>
      </w:r>
      <w:r w:rsidR="00E174E6">
        <w:t xml:space="preserve">. </w:t>
      </w:r>
      <w:r w:rsidR="00F91F67">
        <w:t xml:space="preserve"> </w:t>
      </w:r>
      <w:r w:rsidR="00D046E6">
        <w:t>And i</w:t>
      </w:r>
      <w:r w:rsidR="00E174E6">
        <w:t xml:space="preserve">n </w:t>
      </w:r>
      <w:r w:rsidR="00F91F67">
        <w:t>the</w:t>
      </w:r>
      <w:r w:rsidR="00D046E6">
        <w:t xml:space="preserve"> third </w:t>
      </w:r>
      <w:r w:rsidR="004663E8">
        <w:t xml:space="preserve">decision, </w:t>
      </w:r>
      <w:proofErr w:type="spellStart"/>
      <w:r w:rsidR="004663E8">
        <w:rPr>
          <w:i/>
        </w:rPr>
        <w:t>ePlus</w:t>
      </w:r>
      <w:proofErr w:type="spellEnd"/>
      <w:r w:rsidR="00E174E6">
        <w:rPr>
          <w:i/>
        </w:rPr>
        <w:t>, Inc. v. Lawson Software, Inc.</w:t>
      </w:r>
      <w:r w:rsidR="00E174E6">
        <w:t>,</w:t>
      </w:r>
      <w:r w:rsidR="00E174E6">
        <w:rPr>
          <w:rStyle w:val="FootnoteReference"/>
        </w:rPr>
        <w:footnoteReference w:id="162"/>
      </w:r>
      <w:r w:rsidR="00E174E6">
        <w:t xml:space="preserve"> the Federal Circuit extended the absolute finality</w:t>
      </w:r>
      <w:r w:rsidR="00371FD1">
        <w:t xml:space="preserve"> rule</w:t>
      </w:r>
      <w:r w:rsidR="00E174E6">
        <w:t xml:space="preserve"> </w:t>
      </w:r>
      <w:r w:rsidR="00F91F67">
        <w:t>by holding that a</w:t>
      </w:r>
      <w:r w:rsidR="00E174E6">
        <w:t xml:space="preserve"> PTO </w:t>
      </w:r>
      <w:r w:rsidR="00F91F67">
        <w:t xml:space="preserve">decision could </w:t>
      </w:r>
      <w:r w:rsidR="00D260CF">
        <w:t xml:space="preserve">not only </w:t>
      </w:r>
      <w:r w:rsidR="000D6E33">
        <w:t>take precedence over</w:t>
      </w:r>
      <w:r w:rsidR="00371FD1">
        <w:t xml:space="preserve"> a </w:t>
      </w:r>
      <w:r w:rsidR="00F91F67">
        <w:t>court aw</w:t>
      </w:r>
      <w:r w:rsidR="00371FD1">
        <w:t>ard of damages for infringement,</w:t>
      </w:r>
      <w:r w:rsidR="00F91F67">
        <w:t xml:space="preserve"> it could also </w:t>
      </w:r>
      <w:r w:rsidR="000D6E33">
        <w:t>require a court to vacate a</w:t>
      </w:r>
      <w:r w:rsidR="00F91F67">
        <w:t xml:space="preserve"> finding of contempt </w:t>
      </w:r>
      <w:r w:rsidR="000D6E33">
        <w:t xml:space="preserve">that was </w:t>
      </w:r>
      <w:r w:rsidR="00F91F67">
        <w:t xml:space="preserve">based on an infringer’s violation </w:t>
      </w:r>
      <w:r w:rsidR="00E174E6">
        <w:t xml:space="preserve">of </w:t>
      </w:r>
      <w:r w:rsidR="00371FD1">
        <w:t>an</w:t>
      </w:r>
      <w:r w:rsidR="00E174E6">
        <w:t xml:space="preserve"> injunction.</w:t>
      </w:r>
      <w:r w:rsidR="00B22DE0">
        <w:t xml:space="preserve"> </w:t>
      </w:r>
    </w:p>
    <w:p w14:paraId="2B83DB51" w14:textId="116A78D1" w:rsidR="004663E8" w:rsidRPr="004663E8" w:rsidRDefault="004663E8" w:rsidP="00F42768">
      <w:pPr>
        <w:keepNext/>
        <w:tabs>
          <w:tab w:val="left" w:pos="720"/>
        </w:tabs>
        <w:ind w:left="720" w:hanging="360"/>
        <w:jc w:val="both"/>
        <w:rPr>
          <w:i/>
        </w:rPr>
      </w:pPr>
      <w:r w:rsidRPr="004663E8">
        <w:rPr>
          <w:i/>
        </w:rPr>
        <w:t>1.</w:t>
      </w:r>
      <w:r w:rsidRPr="004663E8">
        <w:rPr>
          <w:i/>
        </w:rPr>
        <w:tab/>
        <w:t>Creation</w:t>
      </w:r>
    </w:p>
    <w:p w14:paraId="5981ACAF" w14:textId="44A56E6B" w:rsidR="008F47F0" w:rsidRDefault="00974C8A" w:rsidP="003C7872">
      <w:pPr>
        <w:tabs>
          <w:tab w:val="left" w:pos="360"/>
        </w:tabs>
        <w:jc w:val="both"/>
      </w:pPr>
      <w:r>
        <w:t>The</w:t>
      </w:r>
      <w:r w:rsidR="00F91F67">
        <w:t xml:space="preserve"> Federal Circuit first articulated the absolute finality rule in</w:t>
      </w:r>
      <w:r>
        <w:t xml:space="preserve"> </w:t>
      </w:r>
      <w:r w:rsidRPr="00974C8A">
        <w:rPr>
          <w:i/>
        </w:rPr>
        <w:t>Fresenius</w:t>
      </w:r>
      <w:r w:rsidR="00F91F67">
        <w:t>.  That</w:t>
      </w:r>
      <w:r>
        <w:t xml:space="preserve"> case i</w:t>
      </w:r>
      <w:r w:rsidR="00B16FAD" w:rsidRPr="00974C8A">
        <w:t>nvolved</w:t>
      </w:r>
      <w:r w:rsidR="00B16FAD">
        <w:t xml:space="preserve"> several patents owned by Baxter</w:t>
      </w:r>
      <w:r w:rsidR="00893775">
        <w:t xml:space="preserve"> relating</w:t>
      </w:r>
      <w:r w:rsidR="00B16FAD">
        <w:t xml:space="preserve"> to </w:t>
      </w:r>
      <w:r w:rsidR="0018149A">
        <w:t xml:space="preserve">hemodialysis machines, which are used in place of kidneys to </w:t>
      </w:r>
      <w:r w:rsidR="00CE6ECB">
        <w:t>remove toxins from the blood</w:t>
      </w:r>
      <w:r w:rsidR="0018149A">
        <w:t>.</w:t>
      </w:r>
      <w:r w:rsidR="00CE6ECB">
        <w:rPr>
          <w:rStyle w:val="FootnoteReference"/>
        </w:rPr>
        <w:footnoteReference w:id="163"/>
      </w:r>
      <w:r w:rsidR="0018149A">
        <w:t xml:space="preserve"> </w:t>
      </w:r>
      <w:r w:rsidR="00405EB6">
        <w:t xml:space="preserve"> </w:t>
      </w:r>
      <w:r w:rsidR="0018149A">
        <w:t xml:space="preserve">In 2003, </w:t>
      </w:r>
      <w:r w:rsidR="00893775">
        <w:t xml:space="preserve">Fresenius, one of Baxter’s competitors, filed suit seeking </w:t>
      </w:r>
      <w:r w:rsidR="0018149A">
        <w:t xml:space="preserve">declaratory judgments of </w:t>
      </w:r>
      <w:proofErr w:type="spellStart"/>
      <w:r w:rsidR="0018149A">
        <w:t>noninfringement</w:t>
      </w:r>
      <w:proofErr w:type="spellEnd"/>
      <w:r w:rsidR="0018149A">
        <w:t xml:space="preserve"> and invalidity </w:t>
      </w:r>
      <w:r w:rsidR="00B16FAD">
        <w:t>of</w:t>
      </w:r>
      <w:r w:rsidR="0018149A">
        <w:t xml:space="preserve"> three </w:t>
      </w:r>
      <w:r w:rsidR="00405EB6">
        <w:t xml:space="preserve">Baxter </w:t>
      </w:r>
      <w:r w:rsidR="0018149A">
        <w:t>patents.</w:t>
      </w:r>
      <w:r w:rsidR="00405EB6">
        <w:rPr>
          <w:rStyle w:val="FootnoteReference"/>
        </w:rPr>
        <w:footnoteReference w:id="164"/>
      </w:r>
      <w:r w:rsidR="00405EB6">
        <w:t xml:space="preserve">  Baxter </w:t>
      </w:r>
      <w:r w:rsidR="00B16FAD">
        <w:t>counterclaimed</w:t>
      </w:r>
      <w:r w:rsidR="00405EB6">
        <w:t xml:space="preserve"> for infringement.</w:t>
      </w:r>
      <w:r w:rsidR="00405EB6">
        <w:rPr>
          <w:rStyle w:val="FootnoteReference"/>
        </w:rPr>
        <w:footnoteReference w:id="165"/>
      </w:r>
      <w:r w:rsidR="00405EB6">
        <w:t xml:space="preserve">  </w:t>
      </w:r>
      <w:r w:rsidR="00656153">
        <w:t xml:space="preserve">The jury ruled </w:t>
      </w:r>
      <w:r w:rsidR="00B16FAD">
        <w:t xml:space="preserve">in </w:t>
      </w:r>
      <w:r w:rsidR="00656153">
        <w:t>Fresenius</w:t>
      </w:r>
      <w:r w:rsidR="00B16FAD">
        <w:t>’s favor</w:t>
      </w:r>
      <w:r w:rsidR="00656153">
        <w:t>, holding Baxter’s asserted patent claims to be invalid.</w:t>
      </w:r>
      <w:r w:rsidR="00405EB6">
        <w:rPr>
          <w:rStyle w:val="FootnoteReference"/>
        </w:rPr>
        <w:footnoteReference w:id="166"/>
      </w:r>
      <w:r w:rsidR="00656153">
        <w:t xml:space="preserve">  The district court, however, granted Baxter’s motion for ju</w:t>
      </w:r>
      <w:r w:rsidR="00371FD1">
        <w:t>dgment as a matter of law</w:t>
      </w:r>
      <w:r w:rsidR="00656153">
        <w:t>, ruling that Fresenius had not presented sufficient evidence to support the verdict of invalidity.</w:t>
      </w:r>
      <w:r w:rsidR="00405EB6">
        <w:rPr>
          <w:rStyle w:val="FootnoteReference"/>
        </w:rPr>
        <w:footnoteReference w:id="167"/>
      </w:r>
      <w:r w:rsidR="00656153">
        <w:t xml:space="preserve">  At a subsequent trial on damages, the jury awarded Baxter $14.266 million for infringement of the three asserted patents.</w:t>
      </w:r>
      <w:r w:rsidR="00405EB6">
        <w:rPr>
          <w:rStyle w:val="FootnoteReference"/>
        </w:rPr>
        <w:footnoteReference w:id="168"/>
      </w:r>
      <w:r w:rsidR="00656153">
        <w:t xml:space="preserve">  </w:t>
      </w:r>
      <w:r w:rsidR="00405EB6" w:rsidRPr="00405EB6">
        <w:t xml:space="preserve">The district court </w:t>
      </w:r>
      <w:r w:rsidR="00405EB6">
        <w:t>also</w:t>
      </w:r>
      <w:r w:rsidR="00B16FAD">
        <w:t xml:space="preserve"> entered a permanent injunction (</w:t>
      </w:r>
      <w:r w:rsidR="00405EB6">
        <w:t xml:space="preserve">which it stayed to allow Fresenius to develop a </w:t>
      </w:r>
      <w:proofErr w:type="spellStart"/>
      <w:r w:rsidR="00405EB6">
        <w:t>non</w:t>
      </w:r>
      <w:r w:rsidR="00405EB6" w:rsidRPr="00405EB6">
        <w:t>infringing</w:t>
      </w:r>
      <w:proofErr w:type="spellEnd"/>
      <w:r w:rsidR="00B16FAD">
        <w:t xml:space="preserve"> machine) </w:t>
      </w:r>
      <w:r w:rsidR="00405EB6">
        <w:t xml:space="preserve">and </w:t>
      </w:r>
      <w:r w:rsidR="00656153">
        <w:t>awarded Baxter ongoing post-verdict royalties on Fresenius’s sales of infringing machines and related products.</w:t>
      </w:r>
      <w:r w:rsidR="00405EB6">
        <w:rPr>
          <w:rStyle w:val="FootnoteReference"/>
        </w:rPr>
        <w:footnoteReference w:id="169"/>
      </w:r>
      <w:r w:rsidR="00656153">
        <w:t xml:space="preserve">  </w:t>
      </w:r>
    </w:p>
    <w:p w14:paraId="3F12964A" w14:textId="5E37C602" w:rsidR="00CE6ECB" w:rsidRDefault="00656153" w:rsidP="00B16FAD">
      <w:pPr>
        <w:tabs>
          <w:tab w:val="left" w:pos="360"/>
        </w:tabs>
        <w:jc w:val="both"/>
      </w:pPr>
      <w:r>
        <w:t xml:space="preserve">On appeal, </w:t>
      </w:r>
      <w:r w:rsidR="00AD7917">
        <w:t xml:space="preserve">the Federal Circuit affirmed the district court’s grant of </w:t>
      </w:r>
      <w:r w:rsidR="00371FD1">
        <w:t>judgment as a matter of law</w:t>
      </w:r>
      <w:r w:rsidR="00AD7917">
        <w:t xml:space="preserve"> to Baxter on its claim of infringement of </w:t>
      </w:r>
      <w:r w:rsidR="00893775">
        <w:t xml:space="preserve">one patent, U.S. Patent No. 5,247,434 (the ’434 patent), </w:t>
      </w:r>
      <w:r w:rsidR="00B16FAD">
        <w:t>but</w:t>
      </w:r>
      <w:r w:rsidR="00AD7917">
        <w:t xml:space="preserve"> reversed the </w:t>
      </w:r>
      <w:r w:rsidR="00CE6ECB">
        <w:t>judgment in Baxter’s favor</w:t>
      </w:r>
      <w:r w:rsidR="00AD7917">
        <w:t xml:space="preserve"> on </w:t>
      </w:r>
      <w:r w:rsidR="00AD7917">
        <w:lastRenderedPageBreak/>
        <w:t xml:space="preserve">the </w:t>
      </w:r>
      <w:r w:rsidR="00B16FAD">
        <w:t>other two patents</w:t>
      </w:r>
      <w:r w:rsidR="00AD7917">
        <w:t>, holding that the asserted claims were invalid</w:t>
      </w:r>
      <w:r>
        <w:t>.</w:t>
      </w:r>
      <w:r w:rsidR="00405EB6">
        <w:rPr>
          <w:rStyle w:val="FootnoteReference"/>
        </w:rPr>
        <w:footnoteReference w:id="170"/>
      </w:r>
      <w:r w:rsidR="00AD7917">
        <w:t xml:space="preserve">  Accordingly, the Federal Circuit </w:t>
      </w:r>
      <w:r w:rsidR="00AD7917" w:rsidRPr="00AD7917">
        <w:t>vacate</w:t>
      </w:r>
      <w:r w:rsidR="00AD7917">
        <w:t>d</w:t>
      </w:r>
      <w:r w:rsidR="00AD7917" w:rsidRPr="00AD7917">
        <w:t xml:space="preserve"> the award</w:t>
      </w:r>
      <w:r w:rsidR="00B16FAD">
        <w:t xml:space="preserve"> of </w:t>
      </w:r>
      <w:r w:rsidR="00B16FAD" w:rsidRPr="00AD7917">
        <w:t>on</w:t>
      </w:r>
      <w:r w:rsidR="00CE6ECB">
        <w:t xml:space="preserve">going </w:t>
      </w:r>
      <w:r w:rsidR="00B16FAD">
        <w:t xml:space="preserve">royalties </w:t>
      </w:r>
      <w:r w:rsidR="00AD7917">
        <w:t xml:space="preserve">and </w:t>
      </w:r>
      <w:r w:rsidR="00AD7917" w:rsidRPr="00AD7917">
        <w:t>remand</w:t>
      </w:r>
      <w:r w:rsidR="00AD7917">
        <w:t>ed</w:t>
      </w:r>
      <w:r w:rsidR="00AD7917" w:rsidRPr="00AD7917">
        <w:t xml:space="preserve"> for the district court to </w:t>
      </w:r>
      <w:r w:rsidR="00B16FAD">
        <w:t>re</w:t>
      </w:r>
      <w:r w:rsidR="00AD7917" w:rsidRPr="00AD7917">
        <w:t xml:space="preserve">consider </w:t>
      </w:r>
      <w:r w:rsidR="00B16FAD">
        <w:t>the award in light of the Federal Circuit’s holdings on validity</w:t>
      </w:r>
      <w:r w:rsidR="00AD7917" w:rsidRPr="00AD7917">
        <w:t>.</w:t>
      </w:r>
      <w:r w:rsidR="00AD7917">
        <w:rPr>
          <w:rStyle w:val="FootnoteReference"/>
        </w:rPr>
        <w:footnoteReference w:id="171"/>
      </w:r>
      <w:r w:rsidR="00AD7917" w:rsidRPr="00AD7917">
        <w:t xml:space="preserve"> </w:t>
      </w:r>
      <w:r>
        <w:t xml:space="preserve"> </w:t>
      </w:r>
      <w:r w:rsidR="00516096">
        <w:t>In addition, t</w:t>
      </w:r>
      <w:r w:rsidR="00AD7917">
        <w:t xml:space="preserve">he Federal Circuit </w:t>
      </w:r>
      <w:r w:rsidR="00516096">
        <w:t xml:space="preserve">affirmed the district court’s decision to permanently enjoin Fresenius, </w:t>
      </w:r>
      <w:r w:rsidR="00AD7917">
        <w:t>but it vacated the injunction and remanded so that the district court could “</w:t>
      </w:r>
      <w:r w:rsidR="00AD7917" w:rsidRPr="00AD7917">
        <w:t>revise or reconsider the injunction in light of</w:t>
      </w:r>
      <w:r w:rsidR="00B16FAD">
        <w:t xml:space="preserve">” the </w:t>
      </w:r>
      <w:r w:rsidR="00AD7917">
        <w:t>holding</w:t>
      </w:r>
      <w:r w:rsidR="00B16FAD">
        <w:t>s</w:t>
      </w:r>
      <w:r w:rsidR="00AD7917">
        <w:t xml:space="preserve"> </w:t>
      </w:r>
      <w:r w:rsidR="00B16FAD">
        <w:t>on validity</w:t>
      </w:r>
      <w:r w:rsidR="00AD7917">
        <w:t>.</w:t>
      </w:r>
      <w:r w:rsidR="00AD7917">
        <w:rPr>
          <w:rStyle w:val="FootnoteReference"/>
        </w:rPr>
        <w:footnoteReference w:id="172"/>
      </w:r>
      <w:r w:rsidR="00D37AD8">
        <w:t xml:space="preserve"> </w:t>
      </w:r>
      <w:r w:rsidR="00B16FAD">
        <w:t xml:space="preserve"> </w:t>
      </w:r>
    </w:p>
    <w:p w14:paraId="5FAB0B2D" w14:textId="4B4DDD54" w:rsidR="00656153" w:rsidRDefault="00D37AD8" w:rsidP="00CE6ECB">
      <w:pPr>
        <w:tabs>
          <w:tab w:val="left" w:pos="360"/>
        </w:tabs>
        <w:jc w:val="both"/>
      </w:pPr>
      <w:r>
        <w:t>Fresenius then filed a petition for a writ of certiorari</w:t>
      </w:r>
      <w:r w:rsidR="00CE6ECB">
        <w:t>, which</w:t>
      </w:r>
      <w:r>
        <w:t xml:space="preserve"> the Supreme Court</w:t>
      </w:r>
      <w:r w:rsidR="00E82FBD">
        <w:t xml:space="preserve"> denied</w:t>
      </w:r>
      <w:r>
        <w:t>.</w:t>
      </w:r>
      <w:bookmarkStart w:id="36" w:name="_Ref303261566"/>
      <w:r>
        <w:rPr>
          <w:rStyle w:val="FootnoteReference"/>
        </w:rPr>
        <w:footnoteReference w:id="173"/>
      </w:r>
      <w:bookmarkEnd w:id="36"/>
      <w:r w:rsidR="00CE6ECB">
        <w:t xml:space="preserve">  </w:t>
      </w:r>
      <w:r>
        <w:t>At that point, court proceedings on the validity and infringement of the ’434 patent were effectively con</w:t>
      </w:r>
      <w:r w:rsidR="004B4B17">
        <w:t>cluded in Baxter’s favor.  And</w:t>
      </w:r>
      <w:r>
        <w:t xml:space="preserve"> Fresenius </w:t>
      </w:r>
      <w:r w:rsidR="00B16FAD">
        <w:t>had</w:t>
      </w:r>
      <w:r>
        <w:t xml:space="preserve"> not challenge</w:t>
      </w:r>
      <w:r w:rsidR="00B16FAD">
        <w:t>d</w:t>
      </w:r>
      <w:r>
        <w:t xml:space="preserve"> on appeal the amount of th</w:t>
      </w:r>
      <w:r w:rsidR="008A745D">
        <w:t xml:space="preserve">e jury’s award for past damages.  So, </w:t>
      </w:r>
      <w:r>
        <w:t xml:space="preserve">Baxter’s entitlement to the $14.266 </w:t>
      </w:r>
      <w:r w:rsidR="008A745D">
        <w:t xml:space="preserve">million </w:t>
      </w:r>
      <w:r>
        <w:t>awarded by the jury was</w:t>
      </w:r>
      <w:r w:rsidR="00516096">
        <w:t>, as a practical matter,</w:t>
      </w:r>
      <w:r>
        <w:t xml:space="preserve"> </w:t>
      </w:r>
      <w:r w:rsidR="00FE14DB">
        <w:t>no longer open to dispute</w:t>
      </w:r>
      <w:r>
        <w:t>.</w:t>
      </w:r>
      <w:r w:rsidR="00FE14DB">
        <w:rPr>
          <w:rStyle w:val="FootnoteReference"/>
        </w:rPr>
        <w:footnoteReference w:id="174"/>
      </w:r>
      <w:r>
        <w:t xml:space="preserve">  </w:t>
      </w:r>
    </w:p>
    <w:p w14:paraId="2AD97C40" w14:textId="3F35AC89" w:rsidR="00D37AD8" w:rsidRDefault="008A745D" w:rsidP="00473C9A">
      <w:pPr>
        <w:tabs>
          <w:tab w:val="left" w:pos="360"/>
        </w:tabs>
        <w:jc w:val="both"/>
      </w:pPr>
      <w:r>
        <w:t xml:space="preserve">While the </w:t>
      </w:r>
      <w:r w:rsidR="00516096">
        <w:t>infringement litigation</w:t>
      </w:r>
      <w:r>
        <w:t xml:space="preserve"> was pending on remand, t</w:t>
      </w:r>
      <w:r w:rsidR="00D37AD8">
        <w:t>he ’434 patent expired</w:t>
      </w:r>
      <w:r>
        <w:t xml:space="preserve">, </w:t>
      </w:r>
      <w:r w:rsidR="00FB6CD6">
        <w:t>mooting</w:t>
      </w:r>
      <w:r>
        <w:t xml:space="preserve"> Baxter’s request for a</w:t>
      </w:r>
      <w:r w:rsidR="00C81A52">
        <w:t>n</w:t>
      </w:r>
      <w:r>
        <w:t xml:space="preserve"> injunction</w:t>
      </w:r>
      <w:r w:rsidR="00D37AD8">
        <w:t>.</w:t>
      </w:r>
      <w:r w:rsidR="00D37AD8">
        <w:rPr>
          <w:rStyle w:val="FootnoteReference"/>
        </w:rPr>
        <w:footnoteReference w:id="175"/>
      </w:r>
      <w:r w:rsidR="00D37AD8">
        <w:t xml:space="preserve">  </w:t>
      </w:r>
      <w:r w:rsidR="00E82FBD">
        <w:t>T</w:t>
      </w:r>
      <w:r w:rsidR="00D37AD8">
        <w:t xml:space="preserve">he district court </w:t>
      </w:r>
      <w:r w:rsidR="004B4B17">
        <w:t xml:space="preserve">eventually </w:t>
      </w:r>
      <w:r w:rsidR="00D37AD8">
        <w:t xml:space="preserve">entered a final judgment ordering Fresenius to pay Baxter $14.266 million plus interest in </w:t>
      </w:r>
      <w:r w:rsidR="00EE7E94">
        <w:t>past</w:t>
      </w:r>
      <w:r w:rsidR="00D37AD8">
        <w:t xml:space="preserve"> damages and $9.3 million in post-verdict royalties</w:t>
      </w:r>
      <w:r w:rsidR="004B4B17">
        <w:t xml:space="preserve">, and </w:t>
      </w:r>
      <w:r w:rsidR="00D37AD8">
        <w:t>Fresenius again appealed to the Federal Circuit.</w:t>
      </w:r>
      <w:r w:rsidR="004B4B17">
        <w:rPr>
          <w:rStyle w:val="FootnoteReference"/>
        </w:rPr>
        <w:footnoteReference w:id="176"/>
      </w:r>
    </w:p>
    <w:p w14:paraId="615474AD" w14:textId="58F9530D" w:rsidR="009A3909" w:rsidRDefault="00CA19F7" w:rsidP="006B644B">
      <w:pPr>
        <w:tabs>
          <w:tab w:val="left" w:pos="360"/>
        </w:tabs>
        <w:jc w:val="both"/>
      </w:pPr>
      <w:r w:rsidRPr="00F07A0F">
        <w:t>As</w:t>
      </w:r>
      <w:r w:rsidR="0095560C">
        <w:t xml:space="preserve"> </w:t>
      </w:r>
      <w:r w:rsidR="008A745D">
        <w:t>Baxter and Fresenius</w:t>
      </w:r>
      <w:r w:rsidR="0095560C">
        <w:t xml:space="preserve"> </w:t>
      </w:r>
      <w:r>
        <w:t>were</w:t>
      </w:r>
      <w:r w:rsidR="0095560C">
        <w:t xml:space="preserve"> </w:t>
      </w:r>
      <w:r>
        <w:t>disputing</w:t>
      </w:r>
      <w:r w:rsidR="0095560C">
        <w:t xml:space="preserve"> the infringement case in court, </w:t>
      </w:r>
      <w:r>
        <w:t>Baxter was also defending the patent’s validity at the PTO</w:t>
      </w:r>
      <w:r w:rsidR="00050E09">
        <w:t xml:space="preserve">, where </w:t>
      </w:r>
      <w:r w:rsidR="0095560C">
        <w:t>Fresenius had requested an ex parte reexamination of the ’434 patent.</w:t>
      </w:r>
      <w:r w:rsidR="0095560C">
        <w:rPr>
          <w:rStyle w:val="FootnoteReference"/>
        </w:rPr>
        <w:footnoteReference w:id="177"/>
      </w:r>
      <w:r w:rsidR="0095560C">
        <w:t xml:space="preserve">  </w:t>
      </w:r>
      <w:r w:rsidR="00050E09" w:rsidRPr="00003AB8">
        <w:t>While the infringement case was pending on remand</w:t>
      </w:r>
      <w:r w:rsidR="00E82FBD" w:rsidRPr="00003AB8">
        <w:t>,</w:t>
      </w:r>
      <w:r w:rsidR="00E82FBD">
        <w:t xml:space="preserve"> </w:t>
      </w:r>
      <w:r w:rsidR="0095560C">
        <w:t>the Board of Patent Appeals and Interferences</w:t>
      </w:r>
      <w:r w:rsidR="005A5F65">
        <w:t xml:space="preserve">, the predecessor of the </w:t>
      </w:r>
      <w:r w:rsidR="00FB0F9A">
        <w:t>Patent Trial and Appeal Board</w:t>
      </w:r>
      <w:r w:rsidR="00EE7E94">
        <w:t xml:space="preserve"> created by the America Invents Act</w:t>
      </w:r>
      <w:r w:rsidR="005A5F65">
        <w:t>,</w:t>
      </w:r>
      <w:r w:rsidR="008A745D">
        <w:t xml:space="preserve"> </w:t>
      </w:r>
      <w:r w:rsidR="00E82FBD">
        <w:t xml:space="preserve">issued a final decision invalidating the </w:t>
      </w:r>
      <w:r w:rsidR="00D046E6">
        <w:t xml:space="preserve">claims </w:t>
      </w:r>
      <w:r w:rsidR="004A066B">
        <w:t xml:space="preserve">of the ’434 patent </w:t>
      </w:r>
      <w:r w:rsidR="00F07A0F">
        <w:t xml:space="preserve">that </w:t>
      </w:r>
      <w:r w:rsidR="00D046E6">
        <w:t>the courts had found to be infringed</w:t>
      </w:r>
      <w:r w:rsidR="0095560C">
        <w:t>.</w:t>
      </w:r>
      <w:r w:rsidR="0095560C">
        <w:rPr>
          <w:rStyle w:val="FootnoteReference"/>
        </w:rPr>
        <w:footnoteReference w:id="178"/>
      </w:r>
      <w:r w:rsidR="0095560C">
        <w:t xml:space="preserve"> </w:t>
      </w:r>
      <w:r w:rsidR="00E82FBD">
        <w:t xml:space="preserve"> </w:t>
      </w:r>
      <w:r w:rsidR="0095560C">
        <w:t xml:space="preserve">Baxter </w:t>
      </w:r>
      <w:r w:rsidR="00E82FBD">
        <w:t xml:space="preserve">then </w:t>
      </w:r>
      <w:r w:rsidR="0095560C">
        <w:t xml:space="preserve">appealed to the Federal Circuit, which affirmed the </w:t>
      </w:r>
      <w:r w:rsidR="00D046E6">
        <w:t xml:space="preserve">PTO’s </w:t>
      </w:r>
      <w:r w:rsidR="0095560C">
        <w:t>decision</w:t>
      </w:r>
      <w:r>
        <w:t xml:space="preserve"> of invalidity</w:t>
      </w:r>
      <w:r w:rsidR="00E82FBD">
        <w:t>.</w:t>
      </w:r>
      <w:r>
        <w:rPr>
          <w:rStyle w:val="FootnoteReference"/>
        </w:rPr>
        <w:footnoteReference w:id="179"/>
      </w:r>
      <w:r w:rsidR="00E82FBD">
        <w:t xml:space="preserve"> </w:t>
      </w:r>
      <w:r w:rsidR="0058051D">
        <w:t xml:space="preserve"> </w:t>
      </w:r>
      <w:r w:rsidR="00050E09">
        <w:t>T</w:t>
      </w:r>
      <w:r w:rsidR="008A745D">
        <w:t xml:space="preserve">he Federal Circuit </w:t>
      </w:r>
      <w:r w:rsidR="008A745D">
        <w:lastRenderedPageBreak/>
        <w:t>acknowledged that</w:t>
      </w:r>
      <w:r w:rsidR="00516096">
        <w:t>,</w:t>
      </w:r>
      <w:r w:rsidR="008A745D">
        <w:t xml:space="preserve"> </w:t>
      </w:r>
      <w:r w:rsidR="00516096">
        <w:t xml:space="preserve">in the prior appeal in the infringement </w:t>
      </w:r>
      <w:r w:rsidR="00893775">
        <w:t>litigation</w:t>
      </w:r>
      <w:r w:rsidR="00516096">
        <w:t xml:space="preserve">, </w:t>
      </w:r>
      <w:r w:rsidR="008A745D">
        <w:t xml:space="preserve">it had </w:t>
      </w:r>
      <w:r>
        <w:t xml:space="preserve">refused to invalidate the </w:t>
      </w:r>
      <w:r w:rsidR="00D046E6">
        <w:t>same patent</w:t>
      </w:r>
      <w:r w:rsidR="00F07A0F">
        <w:t xml:space="preserve"> claims</w:t>
      </w:r>
      <w:r w:rsidR="00D046E6">
        <w:t xml:space="preserve"> that the PTO had invalidated</w:t>
      </w:r>
      <w:r w:rsidR="00516096">
        <w:t>.</w:t>
      </w:r>
      <w:r w:rsidR="00516096">
        <w:rPr>
          <w:rStyle w:val="FootnoteReference"/>
        </w:rPr>
        <w:footnoteReference w:id="180"/>
      </w:r>
      <w:r w:rsidR="00516096">
        <w:t xml:space="preserve">  B</w:t>
      </w:r>
      <w:r w:rsidR="008A745D">
        <w:t xml:space="preserve">ut the </w:t>
      </w:r>
      <w:r w:rsidR="0058051D">
        <w:t xml:space="preserve">Federal Circuit </w:t>
      </w:r>
      <w:r w:rsidR="00C81A52">
        <w:t>emphasized that</w:t>
      </w:r>
      <w:r w:rsidR="0058051D">
        <w:t xml:space="preserve"> the standard of proving invalidity </w:t>
      </w:r>
      <w:r w:rsidR="008A745D">
        <w:t>at the</w:t>
      </w:r>
      <w:r w:rsidR="0058051D">
        <w:t xml:space="preserve"> PTO </w:t>
      </w:r>
      <w:r w:rsidR="008A745D">
        <w:t>i</w:t>
      </w:r>
      <w:r w:rsidR="0058051D">
        <w:t xml:space="preserve">s </w:t>
      </w:r>
      <w:r w:rsidR="008A745D">
        <w:t>“</w:t>
      </w:r>
      <w:r w:rsidR="0058051D">
        <w:t>a preponderance of the evidence</w:t>
      </w:r>
      <w:r w:rsidR="00F07A0F">
        <w:t>,</w:t>
      </w:r>
      <w:r w:rsidR="008A745D">
        <w:t>”</w:t>
      </w:r>
      <w:r w:rsidR="00F07A0F">
        <w:t xml:space="preserve"> which is </w:t>
      </w:r>
      <w:r w:rsidR="0058051D">
        <w:t>“substantially lower</w:t>
      </w:r>
      <w:r>
        <w:t>” than the clear</w:t>
      </w:r>
      <w:r w:rsidR="00893775">
        <w:t xml:space="preserve"> </w:t>
      </w:r>
      <w:r>
        <w:t>and</w:t>
      </w:r>
      <w:r w:rsidR="00893775">
        <w:t xml:space="preserve"> </w:t>
      </w:r>
      <w:r>
        <w:t>convincing</w:t>
      </w:r>
      <w:r w:rsidR="0058051D">
        <w:t xml:space="preserve"> standard that applies in district court litigation</w:t>
      </w:r>
      <w:r w:rsidR="00F07A0F">
        <w:t>,</w:t>
      </w:r>
      <w:r w:rsidR="00627D89">
        <w:t xml:space="preserve"> and that the PTO’s invalidity decision was based on prior art references “that were not squarely at issue” in the litigation</w:t>
      </w:r>
      <w:r w:rsidR="0058051D">
        <w:t>.</w:t>
      </w:r>
      <w:r w:rsidR="0058051D">
        <w:rPr>
          <w:rStyle w:val="FootnoteReference"/>
        </w:rPr>
        <w:footnoteReference w:id="181"/>
      </w:r>
      <w:r w:rsidR="0058051D">
        <w:t xml:space="preserve">  </w:t>
      </w:r>
    </w:p>
    <w:p w14:paraId="08009A76" w14:textId="1AA4A54B" w:rsidR="00A97B9C" w:rsidRDefault="00E82FBD" w:rsidP="00CA19F7">
      <w:pPr>
        <w:tabs>
          <w:tab w:val="left" w:pos="360"/>
        </w:tabs>
        <w:jc w:val="both"/>
      </w:pPr>
      <w:r>
        <w:t xml:space="preserve">About a year </w:t>
      </w:r>
      <w:r w:rsidR="00E8519F">
        <w:t>after affirming the PTO’s decision holding Baxter’s patent to be invalid</w:t>
      </w:r>
      <w:r w:rsidR="00193CE6">
        <w:t xml:space="preserve">, </w:t>
      </w:r>
      <w:r w:rsidR="00CA19F7">
        <w:t xml:space="preserve">the Federal Circuit ruled on Fresenius’s appeal from the remanded district court proceedings.  </w:t>
      </w:r>
      <w:r w:rsidR="00D06F46">
        <w:t xml:space="preserve">A split panel of the </w:t>
      </w:r>
      <w:r w:rsidR="00CA19F7">
        <w:t>court</w:t>
      </w:r>
      <w:r w:rsidR="00D06F46">
        <w:t xml:space="preserve"> vacated the </w:t>
      </w:r>
      <w:r w:rsidR="00CA19F7">
        <w:t xml:space="preserve">damages </w:t>
      </w:r>
      <w:r w:rsidR="00D06F46">
        <w:t xml:space="preserve">judgment in </w:t>
      </w:r>
      <w:r w:rsidR="00CA19F7">
        <w:t>Baxter’s favor</w:t>
      </w:r>
      <w:r w:rsidR="00D06F46">
        <w:t xml:space="preserve">.  </w:t>
      </w:r>
      <w:r w:rsidR="00DB09A5">
        <w:t xml:space="preserve">Judge </w:t>
      </w:r>
      <w:proofErr w:type="spellStart"/>
      <w:r w:rsidR="00DB09A5">
        <w:t>Dyk</w:t>
      </w:r>
      <w:proofErr w:type="spellEnd"/>
      <w:r w:rsidR="00DB09A5">
        <w:t xml:space="preserve">, writing for the </w:t>
      </w:r>
      <w:r w:rsidR="00AC5F7F">
        <w:t>court</w:t>
      </w:r>
      <w:r w:rsidR="00DB09A5">
        <w:t>, began the opinion with</w:t>
      </w:r>
      <w:r w:rsidR="00B85EED">
        <w:t xml:space="preserve"> an extensive discussion of the</w:t>
      </w:r>
      <w:r w:rsidR="001A0B48">
        <w:t xml:space="preserve"> </w:t>
      </w:r>
      <w:r w:rsidR="00DB09A5">
        <w:t>reexamination regime,</w:t>
      </w:r>
      <w:r w:rsidR="00AC5F7F">
        <w:t xml:space="preserve"> asserting that, as a general </w:t>
      </w:r>
      <w:r w:rsidR="00F07A0F">
        <w:t>matter</w:t>
      </w:r>
      <w:r w:rsidR="001A0431">
        <w:t>,</w:t>
      </w:r>
      <w:r w:rsidR="00F07A0F">
        <w:t xml:space="preserve"> when the PTO</w:t>
      </w:r>
      <w:r w:rsidR="00AC5F7F">
        <w:t xml:space="preserve"> </w:t>
      </w:r>
      <w:r w:rsidR="001F3BB7">
        <w:t>invalidates</w:t>
      </w:r>
      <w:r w:rsidR="00AC5F7F">
        <w:t xml:space="preserve"> a </w:t>
      </w:r>
      <w:r w:rsidR="00D260CF">
        <w:t>patent</w:t>
      </w:r>
      <w:r w:rsidR="00AC5F7F">
        <w:t xml:space="preserve"> that is subject to pending litigation, “the patentee’s cause of action is extinguished and the suit fails.”</w:t>
      </w:r>
      <w:r w:rsidR="00AC5F7F">
        <w:rPr>
          <w:rStyle w:val="FootnoteReference"/>
        </w:rPr>
        <w:footnoteReference w:id="182"/>
      </w:r>
      <w:r w:rsidR="00DB09A5">
        <w:t xml:space="preserve"> </w:t>
      </w:r>
      <w:r w:rsidR="00AC5F7F">
        <w:t xml:space="preserve"> </w:t>
      </w:r>
    </w:p>
    <w:p w14:paraId="2AA81BFF" w14:textId="0131DAAE" w:rsidR="00DB09A5" w:rsidRDefault="00D06F46" w:rsidP="00A97B9C">
      <w:pPr>
        <w:tabs>
          <w:tab w:val="left" w:pos="360"/>
        </w:tabs>
        <w:jc w:val="both"/>
      </w:pPr>
      <w:r>
        <w:t xml:space="preserve">The </w:t>
      </w:r>
      <w:r w:rsidR="00AC5F7F">
        <w:t>court then turned to Baxter’s argument that the court</w:t>
      </w:r>
      <w:r w:rsidR="00050E09">
        <w:t>s</w:t>
      </w:r>
      <w:r w:rsidR="00AC5F7F">
        <w:t xml:space="preserve"> had already</w:t>
      </w:r>
      <w:r w:rsidR="00EE7E94">
        <w:t xml:space="preserve"> and</w:t>
      </w:r>
      <w:r w:rsidR="00AC5F7F">
        <w:t xml:space="preserve"> conclusively decided the issues of validity</w:t>
      </w:r>
      <w:r w:rsidR="00894059">
        <w:t>,</w:t>
      </w:r>
      <w:r w:rsidR="00AC5F7F">
        <w:t xml:space="preserve"> infringement</w:t>
      </w:r>
      <w:r w:rsidR="00894059">
        <w:t>, and past damages</w:t>
      </w:r>
      <w:r w:rsidR="00AC5F7F">
        <w:t xml:space="preserve"> and that, accordingly, Fresenius was </w:t>
      </w:r>
      <w:r w:rsidR="00513C41">
        <w:t xml:space="preserve">now </w:t>
      </w:r>
      <w:r w:rsidR="00AC5F7F">
        <w:t xml:space="preserve">barred from </w:t>
      </w:r>
      <w:proofErr w:type="spellStart"/>
      <w:r w:rsidR="00AC5F7F">
        <w:t>relitigating</w:t>
      </w:r>
      <w:proofErr w:type="spellEnd"/>
      <w:r w:rsidR="00AC5F7F">
        <w:t xml:space="preserve"> those issues.</w:t>
      </w:r>
      <w:r w:rsidR="00AC5F7F">
        <w:rPr>
          <w:rStyle w:val="FootnoteReference"/>
        </w:rPr>
        <w:footnoteReference w:id="183"/>
      </w:r>
      <w:r w:rsidR="00AC5F7F">
        <w:t xml:space="preserve">  The </w:t>
      </w:r>
      <w:r w:rsidR="004A066B">
        <w:t>court</w:t>
      </w:r>
      <w:r w:rsidR="00AC5F7F">
        <w:t xml:space="preserve"> noted that </w:t>
      </w:r>
      <w:r>
        <w:t xml:space="preserve">“the cancelation of a patent’s claims cannot be used to reopen a final damages judgment,” but </w:t>
      </w:r>
      <w:r w:rsidR="00193CE6">
        <w:t>concluded</w:t>
      </w:r>
      <w:r>
        <w:t xml:space="preserve"> that </w:t>
      </w:r>
      <w:r w:rsidR="00AC5F7F">
        <w:t>proceedings</w:t>
      </w:r>
      <w:r>
        <w:t xml:space="preserve"> in the infringement case </w:t>
      </w:r>
      <w:r w:rsidR="00AC5F7F">
        <w:t>were</w:t>
      </w:r>
      <w:r w:rsidR="00D260CF">
        <w:t xml:space="preserve"> not </w:t>
      </w:r>
      <w:r>
        <w:t>sufficiently final</w:t>
      </w:r>
      <w:r w:rsidR="00193CE6">
        <w:t xml:space="preserve"> to be immune from </w:t>
      </w:r>
      <w:r>
        <w:t xml:space="preserve">the </w:t>
      </w:r>
      <w:r w:rsidR="000106F9">
        <w:t xml:space="preserve">effects of </w:t>
      </w:r>
      <w:r>
        <w:t>PTO</w:t>
      </w:r>
      <w:r w:rsidR="00F07A0F">
        <w:t xml:space="preserve"> </w:t>
      </w:r>
      <w:r w:rsidR="000106F9">
        <w:t>reexamination</w:t>
      </w:r>
      <w:r>
        <w:t>.</w:t>
      </w:r>
      <w:r>
        <w:rPr>
          <w:rStyle w:val="FootnoteReference"/>
        </w:rPr>
        <w:footnoteReference w:id="184"/>
      </w:r>
      <w:r w:rsidR="00A97B9C">
        <w:t xml:space="preserve">  </w:t>
      </w:r>
      <w:r w:rsidR="00574B0F">
        <w:t>“Looking to general res judicata principles governing the preclusive effect of a judgment,” the court wrote, “it is well-established that where the scope of relief remains to be determined, there is no final judgment binding the parties (or the court).”</w:t>
      </w:r>
      <w:r w:rsidR="00574B0F">
        <w:rPr>
          <w:rStyle w:val="FootnoteReference"/>
        </w:rPr>
        <w:footnoteReference w:id="185"/>
      </w:r>
      <w:r w:rsidR="006B7D91">
        <w:t xml:space="preserve">  </w:t>
      </w:r>
      <w:r w:rsidR="006B644B">
        <w:t xml:space="preserve">Because the </w:t>
      </w:r>
      <w:r w:rsidR="00E86DF9">
        <w:t xml:space="preserve">Federal Circuit’s </w:t>
      </w:r>
      <w:r w:rsidR="006B644B">
        <w:t>decision in the first appeal of the infringement litigation “</w:t>
      </w:r>
      <w:r w:rsidR="006B644B" w:rsidRPr="006B644B">
        <w:t>left severa</w:t>
      </w:r>
      <w:r w:rsidR="006B644B">
        <w:t>l aspects of the district court’</w:t>
      </w:r>
      <w:r w:rsidR="006B644B" w:rsidRPr="006B644B">
        <w:t>s original judgment unresolved,</w:t>
      </w:r>
      <w:r w:rsidR="00D31A32">
        <w:t>”</w:t>
      </w:r>
      <w:r w:rsidR="006B644B" w:rsidRPr="006B644B">
        <w:t xml:space="preserve"> including </w:t>
      </w:r>
      <w:r w:rsidR="00D31A32">
        <w:t xml:space="preserve">the amount of on-going </w:t>
      </w:r>
      <w:r w:rsidR="006B644B" w:rsidRPr="006B644B">
        <w:t xml:space="preserve">royalties </w:t>
      </w:r>
      <w:r w:rsidR="00D31A32">
        <w:t xml:space="preserve">and the scope of the injunction, </w:t>
      </w:r>
      <w:r w:rsidR="006B644B">
        <w:t xml:space="preserve">the </w:t>
      </w:r>
      <w:r w:rsidR="00627D89">
        <w:t>Federal Circuit</w:t>
      </w:r>
      <w:r w:rsidR="006B644B">
        <w:t xml:space="preserve"> reasoned that there was no final </w:t>
      </w:r>
      <w:r w:rsidR="00E8519F">
        <w:t xml:space="preserve">court </w:t>
      </w:r>
      <w:r w:rsidR="00D31A32">
        <w:t>decision</w:t>
      </w:r>
      <w:r w:rsidR="00E8519F">
        <w:t xml:space="preserve"> at the time the PTO invalidated the patent</w:t>
      </w:r>
      <w:r w:rsidR="006B644B">
        <w:t>.</w:t>
      </w:r>
      <w:r w:rsidR="006B644B">
        <w:rPr>
          <w:rStyle w:val="FootnoteReference"/>
        </w:rPr>
        <w:footnoteReference w:id="186"/>
      </w:r>
      <w:r w:rsidR="006B644B">
        <w:t xml:space="preserve"> </w:t>
      </w:r>
      <w:r w:rsidR="00D31A32">
        <w:t xml:space="preserve"> In a footnote, the court cited its prior unpublished opinion in </w:t>
      </w:r>
      <w:proofErr w:type="spellStart"/>
      <w:r w:rsidR="00D31A32">
        <w:rPr>
          <w:i/>
        </w:rPr>
        <w:t>Translogic</w:t>
      </w:r>
      <w:proofErr w:type="spellEnd"/>
      <w:r w:rsidR="00D31A32">
        <w:t xml:space="preserve">, in which </w:t>
      </w:r>
      <w:r w:rsidR="00E86DF9">
        <w:t xml:space="preserve">the Federal </w:t>
      </w:r>
      <w:r w:rsidR="00E86DF9">
        <w:lastRenderedPageBreak/>
        <w:t>Circuit</w:t>
      </w:r>
      <w:r w:rsidR="00D31A32">
        <w:t xml:space="preserve"> vacated a </w:t>
      </w:r>
      <w:r w:rsidR="00627D89">
        <w:t xml:space="preserve">district court </w:t>
      </w:r>
      <w:r w:rsidR="00D31A32">
        <w:t>judgment of infringement in light of the patent’s subsequent invalidation in reexamination.</w:t>
      </w:r>
      <w:r w:rsidR="00D31A32">
        <w:rPr>
          <w:rStyle w:val="FootnoteReference"/>
        </w:rPr>
        <w:footnoteReference w:id="187"/>
      </w:r>
    </w:p>
    <w:p w14:paraId="7B4790F8" w14:textId="77F870DA" w:rsidR="00F07AFE" w:rsidRDefault="00F07AFE" w:rsidP="00473C9A">
      <w:pPr>
        <w:tabs>
          <w:tab w:val="left" w:pos="360"/>
        </w:tabs>
        <w:jc w:val="both"/>
      </w:pPr>
      <w:r>
        <w:t>Judge Newman dissented</w:t>
      </w:r>
      <w:r w:rsidR="00B81ADF">
        <w:t>.</w:t>
      </w:r>
      <w:r w:rsidR="006B644B">
        <w:t xml:space="preserve">  </w:t>
      </w:r>
      <w:r w:rsidR="004721D0">
        <w:t xml:space="preserve">She </w:t>
      </w:r>
      <w:r w:rsidR="00CA48ED">
        <w:t>lamented</w:t>
      </w:r>
      <w:r w:rsidR="004721D0">
        <w:t xml:space="preserve"> that </w:t>
      </w:r>
      <w:r w:rsidR="00D31A32">
        <w:t xml:space="preserve">the court’s approach </w:t>
      </w:r>
      <w:r w:rsidR="00894059">
        <w:t>endorsed</w:t>
      </w:r>
      <w:r w:rsidR="004721D0">
        <w:t xml:space="preserve"> “tactical gaming and harassment” by potential infringers </w:t>
      </w:r>
      <w:r w:rsidR="001A0B48">
        <w:t>who</w:t>
      </w:r>
      <w:r w:rsidR="004721D0">
        <w:t xml:space="preserve"> can make multiple </w:t>
      </w:r>
      <w:r w:rsidR="00E8519F">
        <w:t>attempts to invalidate</w:t>
      </w:r>
      <w:r w:rsidR="004721D0">
        <w:t xml:space="preserve"> </w:t>
      </w:r>
      <w:r w:rsidR="001A0B48">
        <w:t>a single</w:t>
      </w:r>
      <w:r w:rsidR="004721D0">
        <w:t xml:space="preserve"> patent.</w:t>
      </w:r>
      <w:r w:rsidR="001A0B48">
        <w:rPr>
          <w:rStyle w:val="FootnoteReference"/>
        </w:rPr>
        <w:footnoteReference w:id="188"/>
      </w:r>
      <w:r w:rsidR="006B644B">
        <w:t xml:space="preserve">  S</w:t>
      </w:r>
      <w:r w:rsidR="004721D0">
        <w:t xml:space="preserve">he </w:t>
      </w:r>
      <w:r w:rsidR="006B644B">
        <w:t xml:space="preserve">also </w:t>
      </w:r>
      <w:r w:rsidR="004721D0">
        <w:t>disagreed</w:t>
      </w:r>
      <w:r w:rsidR="000A17AA">
        <w:t xml:space="preserve"> with the majority’s stringent view of </w:t>
      </w:r>
      <w:r w:rsidR="00894059">
        <w:t>finality, noting that</w:t>
      </w:r>
      <w:r w:rsidR="000A17AA">
        <w:t xml:space="preserve"> </w:t>
      </w:r>
      <w:r w:rsidR="00893775">
        <w:t>the modern doctrine of issue preclusion</w:t>
      </w:r>
      <w:r w:rsidR="00CA48ED">
        <w:t xml:space="preserve"> treats</w:t>
      </w:r>
      <w:r w:rsidR="000A17AA">
        <w:t xml:space="preserve"> </w:t>
      </w:r>
      <w:r w:rsidR="00893775">
        <w:t xml:space="preserve">finality </w:t>
      </w:r>
      <w:r w:rsidR="00CA48ED">
        <w:t>as</w:t>
      </w:r>
      <w:r w:rsidR="000A17AA">
        <w:t xml:space="preserve"> a </w:t>
      </w:r>
      <w:r w:rsidR="00050AB2">
        <w:t>“pliant” and “flexible” concept.</w:t>
      </w:r>
      <w:r w:rsidR="00050AB2">
        <w:rPr>
          <w:rStyle w:val="FootnoteReference"/>
        </w:rPr>
        <w:footnoteReference w:id="189"/>
      </w:r>
      <w:r w:rsidR="00050AB2">
        <w:t xml:space="preserve">  </w:t>
      </w:r>
      <w:r w:rsidR="00CA19F7">
        <w:t xml:space="preserve">She </w:t>
      </w:r>
      <w:r w:rsidR="000A17AA">
        <w:t>catalogu</w:t>
      </w:r>
      <w:r w:rsidR="00CA19F7">
        <w:t>ed</w:t>
      </w:r>
      <w:r w:rsidR="000A17AA">
        <w:t xml:space="preserve"> opinions by </w:t>
      </w:r>
      <w:r w:rsidR="008B52DF">
        <w:t xml:space="preserve">numerous </w:t>
      </w:r>
      <w:r w:rsidR="000A17AA">
        <w:t>other federal courts of appeals acknowledging that decisions can be entitled to preclusive effect even if they do not end the litigation altogether, so long as the parties have had a “full a</w:t>
      </w:r>
      <w:r w:rsidR="00832E69">
        <w:t>nd fair opportunity to litigate</w:t>
      </w:r>
      <w:r w:rsidR="000A17AA">
        <w:t>”</w:t>
      </w:r>
      <w:r w:rsidR="00832E69">
        <w:t xml:space="preserve"> the relevant issue (here, patent validity).</w:t>
      </w:r>
      <w:r w:rsidR="000A17AA">
        <w:rPr>
          <w:rStyle w:val="FootnoteReference"/>
        </w:rPr>
        <w:footnoteReference w:id="190"/>
      </w:r>
      <w:r w:rsidR="000A17AA">
        <w:t xml:space="preserve"> </w:t>
      </w:r>
    </w:p>
    <w:p w14:paraId="2FE742FC" w14:textId="2C4BD3D4" w:rsidR="008454AB" w:rsidRDefault="00A31C0E" w:rsidP="00473C9A">
      <w:pPr>
        <w:tabs>
          <w:tab w:val="left" w:pos="360"/>
        </w:tabs>
        <w:jc w:val="both"/>
      </w:pPr>
      <w:r>
        <w:t xml:space="preserve">When </w:t>
      </w:r>
      <w:r w:rsidR="000A17AA">
        <w:t>the Federal C</w:t>
      </w:r>
      <w:r w:rsidR="00050E09">
        <w:t>ircuit denied rehearing en banc</w:t>
      </w:r>
      <w:r>
        <w:t xml:space="preserve">, four </w:t>
      </w:r>
      <w:r w:rsidR="00627D89">
        <w:t>of the ten participating judges</w:t>
      </w:r>
      <w:r w:rsidR="00B40B42">
        <w:t xml:space="preserve"> dissented.</w:t>
      </w:r>
      <w:r w:rsidR="008454AB">
        <w:t xml:space="preserve"> </w:t>
      </w:r>
      <w:r w:rsidR="00BB2514">
        <w:t xml:space="preserve"> </w:t>
      </w:r>
      <w:r w:rsidR="00B40B42">
        <w:t xml:space="preserve">Judge O’Malley, joined by </w:t>
      </w:r>
      <w:r w:rsidR="00007ABB">
        <w:t>Chief Judge</w:t>
      </w:r>
      <w:r w:rsidR="00B40B42">
        <w:t xml:space="preserve"> Rader and</w:t>
      </w:r>
      <w:r w:rsidR="00007ABB">
        <w:t xml:space="preserve"> Judge</w:t>
      </w:r>
      <w:r w:rsidR="00B40B42">
        <w:t xml:space="preserve"> Wallach, wrote a forceful opinion </w:t>
      </w:r>
      <w:r w:rsidR="00BB2514">
        <w:t>criticizing the panel</w:t>
      </w:r>
      <w:r w:rsidR="00D871AA">
        <w:t>’s “antiquated view of finality.</w:t>
      </w:r>
      <w:r w:rsidR="00BB2514">
        <w:t>”</w:t>
      </w:r>
      <w:r w:rsidR="00D871AA">
        <w:rPr>
          <w:rStyle w:val="FootnoteReference"/>
        </w:rPr>
        <w:footnoteReference w:id="191"/>
      </w:r>
      <w:r w:rsidR="00D871AA">
        <w:t xml:space="preserve"> </w:t>
      </w:r>
      <w:r w:rsidR="00BB2514">
        <w:t xml:space="preserve"> </w:t>
      </w:r>
      <w:r w:rsidR="00D871AA">
        <w:t>S</w:t>
      </w:r>
      <w:r w:rsidR="00371FD1">
        <w:t>ince at least the 1960s,</w:t>
      </w:r>
      <w:r w:rsidR="00D871AA">
        <w:t xml:space="preserve"> she argued, courts have held orders that establish liability to be final for </w:t>
      </w:r>
      <w:r w:rsidR="00EE7E94">
        <w:t>the purpose of issue preclusion</w:t>
      </w:r>
      <w:r w:rsidR="00D871AA">
        <w:t xml:space="preserve"> even if matters such as damages remain to be determined.</w:t>
      </w:r>
      <w:r w:rsidR="00D871AA">
        <w:rPr>
          <w:rStyle w:val="FootnoteReference"/>
        </w:rPr>
        <w:footnoteReference w:id="192"/>
      </w:r>
      <w:r w:rsidR="00D871AA">
        <w:t xml:space="preserve">  Judge O’Malley also</w:t>
      </w:r>
      <w:r w:rsidR="00BB2514">
        <w:t xml:space="preserve"> </w:t>
      </w:r>
      <w:r w:rsidR="00CA48ED">
        <w:t>noted</w:t>
      </w:r>
      <w:r w:rsidR="00B40B42">
        <w:t xml:space="preserve"> that the panel decision “goes a long way toward rendering district courts meaningless in the resolution </w:t>
      </w:r>
      <w:r w:rsidR="00D871AA">
        <w:t>of patent infringement disputes</w:t>
      </w:r>
      <w:r w:rsidR="00B40B42">
        <w:t>”</w:t>
      </w:r>
      <w:r w:rsidR="00D871AA">
        <w:t xml:space="preserve"> because courts will inevitably stay proceedings pending reexamination to avoid having their work nullified by a contrary decision of the PTO.</w:t>
      </w:r>
      <w:r w:rsidR="00B40B42">
        <w:rPr>
          <w:rStyle w:val="FootnoteReference"/>
        </w:rPr>
        <w:footnoteReference w:id="193"/>
      </w:r>
      <w:r w:rsidR="00627D89">
        <w:t xml:space="preserve">  </w:t>
      </w:r>
      <w:r w:rsidR="008454AB">
        <w:t>Judge Newman dissented separately</w:t>
      </w:r>
      <w:r w:rsidR="00BB2514">
        <w:t xml:space="preserve">, expressing </w:t>
      </w:r>
      <w:r w:rsidR="008454AB">
        <w:t xml:space="preserve">concern that the </w:t>
      </w:r>
      <w:r w:rsidR="00BB2514">
        <w:t>court</w:t>
      </w:r>
      <w:r w:rsidR="008454AB">
        <w:t xml:space="preserve"> had created “an unconstrained free-for-all” that enables “pervasive duplication of litigation and reexamination of the same patents.”</w:t>
      </w:r>
      <w:r w:rsidR="008454AB">
        <w:rPr>
          <w:rStyle w:val="FootnoteReference"/>
        </w:rPr>
        <w:footnoteReference w:id="194"/>
      </w:r>
      <w:r w:rsidR="008454AB">
        <w:t xml:space="preserve">  </w:t>
      </w:r>
    </w:p>
    <w:p w14:paraId="020D0F39" w14:textId="542A7184" w:rsidR="003C6B9D" w:rsidRPr="004663E8" w:rsidRDefault="004663E8" w:rsidP="004663E8">
      <w:pPr>
        <w:tabs>
          <w:tab w:val="left" w:pos="720"/>
        </w:tabs>
        <w:ind w:left="720" w:hanging="360"/>
        <w:rPr>
          <w:i/>
        </w:rPr>
      </w:pPr>
      <w:r w:rsidRPr="004663E8">
        <w:rPr>
          <w:i/>
        </w:rPr>
        <w:t>2</w:t>
      </w:r>
      <w:r w:rsidR="003C6B9D" w:rsidRPr="004663E8">
        <w:rPr>
          <w:i/>
        </w:rPr>
        <w:t>.</w:t>
      </w:r>
      <w:r w:rsidR="003C6B9D" w:rsidRPr="004663E8">
        <w:rPr>
          <w:i/>
        </w:rPr>
        <w:tab/>
      </w:r>
      <w:r w:rsidR="00B501D6" w:rsidRPr="004663E8">
        <w:rPr>
          <w:i/>
        </w:rPr>
        <w:t>Consequences</w:t>
      </w:r>
    </w:p>
    <w:p w14:paraId="1D4572DC" w14:textId="7B45574E" w:rsidR="00D44CB5" w:rsidRDefault="00D871AA" w:rsidP="003C6B9D">
      <w:pPr>
        <w:pStyle w:val="BodyText"/>
        <w:ind w:firstLine="360"/>
        <w:jc w:val="both"/>
      </w:pPr>
      <w:r>
        <w:t>The Federal Circuit’s next case involving conflicting validity decision</w:t>
      </w:r>
      <w:r w:rsidR="00915E22">
        <w:t>s</w:t>
      </w:r>
      <w:r>
        <w:t xml:space="preserve"> between a court and the PTO, </w:t>
      </w:r>
      <w:proofErr w:type="spellStart"/>
      <w:r>
        <w:rPr>
          <w:i/>
        </w:rPr>
        <w:t>Versata</w:t>
      </w:r>
      <w:proofErr w:type="spellEnd"/>
      <w:r>
        <w:rPr>
          <w:i/>
        </w:rPr>
        <w:t xml:space="preserve"> v. SAP</w:t>
      </w:r>
      <w:r>
        <w:t xml:space="preserve">, illustrates the procedural free-for-all that </w:t>
      </w:r>
      <w:r w:rsidR="00915E22">
        <w:t xml:space="preserve">worried </w:t>
      </w:r>
      <w:r>
        <w:t>Judge Newman</w:t>
      </w:r>
      <w:r w:rsidR="00050E09">
        <w:t xml:space="preserve">.  </w:t>
      </w:r>
      <w:r w:rsidR="003C6B9D">
        <w:t xml:space="preserve">In </w:t>
      </w:r>
      <w:r w:rsidR="00627D89">
        <w:t>that case</w:t>
      </w:r>
      <w:r w:rsidR="003C6B9D">
        <w:t xml:space="preserve">, </w:t>
      </w:r>
      <w:proofErr w:type="spellStart"/>
      <w:r w:rsidR="003C6B9D">
        <w:t>Versata</w:t>
      </w:r>
      <w:proofErr w:type="spellEnd"/>
      <w:r w:rsidR="003C6B9D">
        <w:t xml:space="preserve"> sued SAP for </w:t>
      </w:r>
      <w:r>
        <w:t>infringing several patents on computer software</w:t>
      </w:r>
      <w:r w:rsidR="003C6B9D">
        <w:t>.</w:t>
      </w:r>
      <w:r w:rsidR="003C6B9D">
        <w:rPr>
          <w:rStyle w:val="FootnoteReference"/>
        </w:rPr>
        <w:footnoteReference w:id="195"/>
      </w:r>
      <w:r w:rsidR="003C6B9D">
        <w:t xml:space="preserve">  </w:t>
      </w:r>
      <w:r w:rsidR="00D44CB5">
        <w:t xml:space="preserve">After two trials, </w:t>
      </w:r>
      <w:r w:rsidR="00533E77">
        <w:t xml:space="preserve">the district court found </w:t>
      </w:r>
      <w:r w:rsidR="00D44CB5">
        <w:lastRenderedPageBreak/>
        <w:t xml:space="preserve">one of </w:t>
      </w:r>
      <w:proofErr w:type="spellStart"/>
      <w:r w:rsidR="00D44CB5">
        <w:t>Versata’s</w:t>
      </w:r>
      <w:proofErr w:type="spellEnd"/>
      <w:r w:rsidR="00D44CB5">
        <w:t xml:space="preserve"> patents to </w:t>
      </w:r>
      <w:r w:rsidR="00533E77">
        <w:t>be infringed</w:t>
      </w:r>
      <w:r w:rsidR="00220DAE">
        <w:t xml:space="preserve"> and rejected SAP’s arguments that the patent was invalid</w:t>
      </w:r>
      <w:r w:rsidR="00915E22">
        <w:t xml:space="preserve">.  The court </w:t>
      </w:r>
      <w:r w:rsidR="00533E77">
        <w:t xml:space="preserve">awarded </w:t>
      </w:r>
      <w:proofErr w:type="spellStart"/>
      <w:r w:rsidR="00CF0280">
        <w:t>Ver</w:t>
      </w:r>
      <w:r w:rsidR="00D44CB5">
        <w:t>sata</w:t>
      </w:r>
      <w:proofErr w:type="spellEnd"/>
      <w:r w:rsidR="00D44CB5">
        <w:t xml:space="preserve"> </w:t>
      </w:r>
      <w:r w:rsidR="003C6B9D">
        <w:t xml:space="preserve">$260 million in lost profits damages and </w:t>
      </w:r>
      <w:r w:rsidR="00CF0280">
        <w:t xml:space="preserve">$85 million in </w:t>
      </w:r>
      <w:r w:rsidR="003C6B9D">
        <w:t>reasonable royalties</w:t>
      </w:r>
      <w:r w:rsidR="00050E09">
        <w:t xml:space="preserve">, </w:t>
      </w:r>
      <w:r w:rsidR="00915E22">
        <w:t xml:space="preserve">and </w:t>
      </w:r>
      <w:r w:rsidR="00050E09">
        <w:t xml:space="preserve">it </w:t>
      </w:r>
      <w:r w:rsidR="00915E22">
        <w:t>also entered a permanent injunction</w:t>
      </w:r>
      <w:r w:rsidR="003C6B9D">
        <w:t>.</w:t>
      </w:r>
      <w:r w:rsidR="003C6B9D">
        <w:rPr>
          <w:rStyle w:val="FootnoteReference"/>
        </w:rPr>
        <w:footnoteReference w:id="196"/>
      </w:r>
      <w:r w:rsidR="003C6B9D">
        <w:t xml:space="preserve">  </w:t>
      </w:r>
    </w:p>
    <w:p w14:paraId="4A0D9EF7" w14:textId="25EA1798" w:rsidR="003C6B9D" w:rsidRDefault="00050E09" w:rsidP="003C6B9D">
      <w:pPr>
        <w:pStyle w:val="BodyText"/>
        <w:ind w:firstLine="360"/>
        <w:jc w:val="both"/>
      </w:pPr>
      <w:r w:rsidRPr="00003AB8">
        <w:t xml:space="preserve">In an opinion issued in </w:t>
      </w:r>
      <w:r w:rsidR="00003AB8" w:rsidRPr="00003AB8">
        <w:t>May</w:t>
      </w:r>
      <w:r w:rsidRPr="00003AB8">
        <w:t xml:space="preserve"> 2013, t</w:t>
      </w:r>
      <w:r w:rsidR="003C6B9D" w:rsidRPr="00003AB8">
        <w:t>he Federal Circuit affirmed the finding of infringement and the award</w:t>
      </w:r>
      <w:r w:rsidR="00CF0280" w:rsidRPr="00003AB8">
        <w:t>s</w:t>
      </w:r>
      <w:r w:rsidR="003C6B9D" w:rsidRPr="00003AB8">
        <w:t xml:space="preserve"> of lost profits and reasonable royalties.</w:t>
      </w:r>
      <w:r w:rsidR="003C6B9D" w:rsidRPr="00003AB8">
        <w:rPr>
          <w:rStyle w:val="FootnoteReference"/>
        </w:rPr>
        <w:footnoteReference w:id="197"/>
      </w:r>
      <w:r w:rsidR="00220DAE">
        <w:t xml:space="preserve">  (SAP did not appeal on the issue of validity.</w:t>
      </w:r>
      <w:r w:rsidR="00220DAE">
        <w:rPr>
          <w:rStyle w:val="FootnoteReference"/>
        </w:rPr>
        <w:footnoteReference w:id="198"/>
      </w:r>
      <w:r w:rsidR="00220DAE">
        <w:t>)</w:t>
      </w:r>
      <w:r w:rsidR="003C6B9D" w:rsidRPr="00003AB8">
        <w:t xml:space="preserve">  The court, however, </w:t>
      </w:r>
      <w:r w:rsidRPr="00003AB8">
        <w:t xml:space="preserve">also </w:t>
      </w:r>
      <w:r w:rsidR="00BC5C43" w:rsidRPr="00003AB8">
        <w:t>ruled that</w:t>
      </w:r>
      <w:r w:rsidR="003C6B9D" w:rsidRPr="00003AB8">
        <w:t xml:space="preserve"> a portion of the injunction </w:t>
      </w:r>
      <w:r w:rsidR="00BC5C43" w:rsidRPr="00003AB8">
        <w:t>was</w:t>
      </w:r>
      <w:r w:rsidR="003C6B9D" w:rsidRPr="00003AB8">
        <w:t xml:space="preserve"> overbroad</w:t>
      </w:r>
      <w:r w:rsidRPr="00003AB8">
        <w:t xml:space="preserve"> and remanded the case for the district court to modify the injunction</w:t>
      </w:r>
      <w:r w:rsidR="003C6B9D" w:rsidRPr="00003AB8">
        <w:t>.</w:t>
      </w:r>
      <w:r w:rsidR="003C6B9D" w:rsidRPr="00003AB8">
        <w:rPr>
          <w:rStyle w:val="FootnoteReference"/>
        </w:rPr>
        <w:footnoteReference w:id="199"/>
      </w:r>
      <w:r w:rsidR="00D31A32">
        <w:t xml:space="preserve">  </w:t>
      </w:r>
    </w:p>
    <w:p w14:paraId="07984D32" w14:textId="6E95ECA5" w:rsidR="003C6B9D" w:rsidRDefault="00E8519F" w:rsidP="003C6B9D">
      <w:pPr>
        <w:pStyle w:val="BodyText"/>
        <w:ind w:firstLine="360"/>
        <w:jc w:val="both"/>
      </w:pPr>
      <w:r>
        <w:t>W</w:t>
      </w:r>
      <w:r w:rsidR="00050E09" w:rsidRPr="00003AB8">
        <w:t xml:space="preserve">hile that appeal </w:t>
      </w:r>
      <w:r w:rsidR="00832E69">
        <w:t>had been</w:t>
      </w:r>
      <w:r w:rsidR="00050E09" w:rsidRPr="00003AB8">
        <w:t xml:space="preserve"> pending at the Federal Circuit,</w:t>
      </w:r>
      <w:r w:rsidR="003C6B9D">
        <w:t xml:space="preserve"> SAP sought review of </w:t>
      </w:r>
      <w:proofErr w:type="spellStart"/>
      <w:r w:rsidR="003C6B9D">
        <w:t>Versata’s</w:t>
      </w:r>
      <w:proofErr w:type="spellEnd"/>
      <w:r w:rsidR="003C6B9D">
        <w:t xml:space="preserve"> patent </w:t>
      </w:r>
      <w:r w:rsidR="00007ABB">
        <w:t>in</w:t>
      </w:r>
      <w:r w:rsidR="003C6B9D">
        <w:t xml:space="preserve"> the </w:t>
      </w:r>
      <w:r w:rsidR="00CF0280">
        <w:t xml:space="preserve">covered business method </w:t>
      </w:r>
      <w:r w:rsidR="003C6B9D">
        <w:t xml:space="preserve">review </w:t>
      </w:r>
      <w:r w:rsidR="00007ABB">
        <w:t>proceeding</w:t>
      </w:r>
      <w:r w:rsidR="003C6B9D">
        <w:t xml:space="preserve"> created by the Amer</w:t>
      </w:r>
      <w:r w:rsidR="00D44CB5">
        <w:t>ica Invents Act.  In fact, SAP filed its petition</w:t>
      </w:r>
      <w:r w:rsidR="00007ABB">
        <w:t xml:space="preserve"> </w:t>
      </w:r>
      <w:r w:rsidR="003C6B9D">
        <w:t xml:space="preserve">on the very first day </w:t>
      </w:r>
      <w:r w:rsidR="00007ABB">
        <w:t>the proceeding was</w:t>
      </w:r>
      <w:r w:rsidR="00D44CB5">
        <w:t xml:space="preserve"> available, September 16, 2012</w:t>
      </w:r>
      <w:r w:rsidR="003C6B9D">
        <w:t xml:space="preserve">. </w:t>
      </w:r>
      <w:r w:rsidR="00050E09">
        <w:t xml:space="preserve"> I</w:t>
      </w:r>
      <w:r w:rsidR="003C6B9D">
        <w:t xml:space="preserve">n June 2013, </w:t>
      </w:r>
      <w:r w:rsidR="001F3BB7">
        <w:t xml:space="preserve">the PTAB </w:t>
      </w:r>
      <w:r w:rsidR="003C6B9D">
        <w:t xml:space="preserve">ruled that </w:t>
      </w:r>
      <w:proofErr w:type="spellStart"/>
      <w:r w:rsidR="00D44CB5">
        <w:t>Versata’s</w:t>
      </w:r>
      <w:proofErr w:type="spellEnd"/>
      <w:r w:rsidR="003C6B9D">
        <w:t xml:space="preserve"> patent claims </w:t>
      </w:r>
      <w:r w:rsidR="00533E77">
        <w:t>were invalid</w:t>
      </w:r>
      <w:r w:rsidR="003C6B9D">
        <w:t>.</w:t>
      </w:r>
      <w:r w:rsidR="003C6B9D">
        <w:rPr>
          <w:rStyle w:val="FootnoteReference"/>
        </w:rPr>
        <w:footnoteReference w:id="200"/>
      </w:r>
      <w:r w:rsidR="003C6B9D">
        <w:t xml:space="preserve">  </w:t>
      </w:r>
      <w:r w:rsidR="00CF0280">
        <w:t>After an unsuccessful petition for rehearing,</w:t>
      </w:r>
      <w:r w:rsidR="00CF0280">
        <w:rPr>
          <w:rStyle w:val="FootnoteReference"/>
        </w:rPr>
        <w:footnoteReference w:id="201"/>
      </w:r>
      <w:r w:rsidR="00CF0280">
        <w:t xml:space="preserve"> </w:t>
      </w:r>
      <w:proofErr w:type="spellStart"/>
      <w:r w:rsidR="003C6B9D">
        <w:t>Versata</w:t>
      </w:r>
      <w:proofErr w:type="spellEnd"/>
      <w:r w:rsidR="003C6B9D">
        <w:t xml:space="preserve"> appealed </w:t>
      </w:r>
      <w:r w:rsidR="00CF0280">
        <w:t>the PTAB’s ruling</w:t>
      </w:r>
      <w:r w:rsidR="003C6B9D">
        <w:t xml:space="preserve"> to the Federal Circuit, and the </w:t>
      </w:r>
      <w:r w:rsidR="00D44CB5">
        <w:t xml:space="preserve">court docketed the appeal </w:t>
      </w:r>
      <w:r w:rsidR="003C6B9D">
        <w:t xml:space="preserve">on January 3, 2014.  </w:t>
      </w:r>
    </w:p>
    <w:p w14:paraId="561E9F3A" w14:textId="14FFAEB8" w:rsidR="00D44CB5" w:rsidRDefault="006B7D91" w:rsidP="003C6B9D">
      <w:pPr>
        <w:pStyle w:val="BodyText"/>
        <w:ind w:firstLine="360"/>
        <w:jc w:val="both"/>
      </w:pPr>
      <w:r>
        <w:t>W</w:t>
      </w:r>
      <w:r w:rsidR="00D44CB5">
        <w:t>ith conflicting court and</w:t>
      </w:r>
      <w:r w:rsidR="00AF7AD7">
        <w:t xml:space="preserve"> PTO rulings on patent validity</w:t>
      </w:r>
      <w:r w:rsidR="00037728">
        <w:t xml:space="preserve">, </w:t>
      </w:r>
      <w:r w:rsidR="00D44CB5">
        <w:t>t</w:t>
      </w:r>
      <w:r w:rsidR="003C6B9D">
        <w:t xml:space="preserve">he race </w:t>
      </w:r>
      <w:r w:rsidR="00D44CB5">
        <w:t xml:space="preserve">to finality </w:t>
      </w:r>
      <w:r w:rsidR="003C6B9D">
        <w:t xml:space="preserve">was on.  </w:t>
      </w:r>
      <w:r w:rsidR="00D44CB5">
        <w:t>In the district court</w:t>
      </w:r>
      <w:r w:rsidR="003C6B9D">
        <w:t xml:space="preserve">, </w:t>
      </w:r>
      <w:proofErr w:type="spellStart"/>
      <w:r w:rsidR="003C6B9D">
        <w:t>Versata</w:t>
      </w:r>
      <w:proofErr w:type="spellEnd"/>
      <w:r w:rsidR="003C6B9D">
        <w:t xml:space="preserve"> </w:t>
      </w:r>
      <w:r w:rsidR="00D44CB5">
        <w:t>tried</w:t>
      </w:r>
      <w:r w:rsidR="003C6B9D">
        <w:t xml:space="preserve"> to speed up final resolution and protect its </w:t>
      </w:r>
      <w:r w:rsidR="00AD27B5">
        <w:t xml:space="preserve">damages </w:t>
      </w:r>
      <w:r w:rsidR="00533E77">
        <w:t>judgment.</w:t>
      </w:r>
      <w:r w:rsidR="005838E1">
        <w:t xml:space="preserve">  On January 21, 2014, </w:t>
      </w:r>
      <w:r w:rsidR="003C6B9D">
        <w:t xml:space="preserve">the day the Supreme Court denied </w:t>
      </w:r>
      <w:r w:rsidR="00AD27B5">
        <w:t xml:space="preserve">SAP petition’s for a writ of </w:t>
      </w:r>
      <w:r w:rsidR="00D44CB5">
        <w:t>certiorari</w:t>
      </w:r>
      <w:r w:rsidR="003C6B9D">
        <w:t xml:space="preserve"> </w:t>
      </w:r>
      <w:r w:rsidR="00050E09">
        <w:t xml:space="preserve">from the Federal Circuit’s </w:t>
      </w:r>
      <w:r w:rsidR="00EE7E94">
        <w:t xml:space="preserve">May 2013 </w:t>
      </w:r>
      <w:r w:rsidR="00050E09">
        <w:t xml:space="preserve">decision </w:t>
      </w:r>
      <w:r w:rsidR="003C6B9D">
        <w:t xml:space="preserve">in </w:t>
      </w:r>
      <w:r w:rsidR="00D44CB5">
        <w:t xml:space="preserve">the infringement </w:t>
      </w:r>
      <w:r w:rsidR="00627D89">
        <w:t>case</w:t>
      </w:r>
      <w:r w:rsidR="005838E1">
        <w:t>,</w:t>
      </w:r>
      <w:r w:rsidR="003C6B9D">
        <w:rPr>
          <w:rStyle w:val="FootnoteReference"/>
        </w:rPr>
        <w:footnoteReference w:id="202"/>
      </w:r>
      <w:r w:rsidR="005838E1">
        <w:t xml:space="preserve"> </w:t>
      </w:r>
      <w:proofErr w:type="spellStart"/>
      <w:r w:rsidR="003C6B9D">
        <w:t>Versata</w:t>
      </w:r>
      <w:proofErr w:type="spellEnd"/>
      <w:r w:rsidR="003C6B9D">
        <w:t xml:space="preserve"> abandoned its </w:t>
      </w:r>
      <w:r w:rsidR="00D44CB5">
        <w:t>request for</w:t>
      </w:r>
      <w:r w:rsidR="003C6B9D">
        <w:t xml:space="preserve"> an injunction, which was the only issue remanded by the Federal Circuit.  With final resolution of the infringement </w:t>
      </w:r>
      <w:r w:rsidR="00627D89">
        <w:t>case</w:t>
      </w:r>
      <w:r w:rsidR="003C6B9D">
        <w:t xml:space="preserve"> close at </w:t>
      </w:r>
      <w:r w:rsidR="00533E77">
        <w:t>hand, SAP was not to be outdone.</w:t>
      </w:r>
      <w:r w:rsidR="003C6B9D">
        <w:t xml:space="preserve">  On February 1, </w:t>
      </w:r>
      <w:r w:rsidR="00D44CB5">
        <w:t>SAP</w:t>
      </w:r>
      <w:r w:rsidR="003C6B9D">
        <w:t xml:space="preserve"> filed a motion with the district court seeking either </w:t>
      </w:r>
      <w:r w:rsidR="00D44CB5">
        <w:t xml:space="preserve">(a) </w:t>
      </w:r>
      <w:r w:rsidR="003C6B9D">
        <w:t xml:space="preserve">a stay of proceedings in light of the </w:t>
      </w:r>
      <w:r w:rsidR="00D44CB5">
        <w:t xml:space="preserve">pending Federal Circuit appeal of </w:t>
      </w:r>
      <w:r w:rsidR="00894059">
        <w:t xml:space="preserve">the </w:t>
      </w:r>
      <w:r w:rsidR="00BA327E">
        <w:t>PTAB</w:t>
      </w:r>
      <w:r w:rsidR="003C6B9D">
        <w:t xml:space="preserve"> </w:t>
      </w:r>
      <w:r w:rsidR="005A5F65">
        <w:t>proceeding</w:t>
      </w:r>
      <w:r w:rsidR="003C6B9D">
        <w:t xml:space="preserve"> or </w:t>
      </w:r>
      <w:r w:rsidR="00D44CB5">
        <w:t xml:space="preserve">(b) </w:t>
      </w:r>
      <w:r w:rsidR="003C6B9D">
        <w:t xml:space="preserve">a </w:t>
      </w:r>
      <w:proofErr w:type="spellStart"/>
      <w:r w:rsidR="003C6B9D">
        <w:t>vacatur</w:t>
      </w:r>
      <w:proofErr w:type="spellEnd"/>
      <w:r w:rsidR="003C6B9D">
        <w:t xml:space="preserve"> of t</w:t>
      </w:r>
      <w:r w:rsidR="001F3BB7">
        <w:t xml:space="preserve">he prior damages judgment </w:t>
      </w:r>
      <w:r w:rsidR="003C6B9D">
        <w:t xml:space="preserve">based on the </w:t>
      </w:r>
      <w:r w:rsidR="00BA327E">
        <w:t>PTAB’s</w:t>
      </w:r>
      <w:r w:rsidR="003C6B9D">
        <w:t xml:space="preserve"> invalidation of the patent.</w:t>
      </w:r>
      <w:r w:rsidR="003C6B9D">
        <w:rPr>
          <w:rStyle w:val="FootnoteReference"/>
        </w:rPr>
        <w:footnoteReference w:id="203"/>
      </w:r>
      <w:r w:rsidR="003C6B9D">
        <w:t xml:space="preserve">  </w:t>
      </w:r>
    </w:p>
    <w:p w14:paraId="4F163B2E" w14:textId="52A72B5E" w:rsidR="00D44CB5" w:rsidRDefault="003C6B9D" w:rsidP="00D44CB5">
      <w:pPr>
        <w:pStyle w:val="BodyText"/>
        <w:ind w:firstLine="360"/>
        <w:jc w:val="both"/>
      </w:pPr>
      <w:r>
        <w:lastRenderedPageBreak/>
        <w:t xml:space="preserve">The district court denied the motion for a stay, </w:t>
      </w:r>
      <w:r w:rsidR="0027271C">
        <w:t>largely</w:t>
      </w:r>
      <w:r w:rsidR="00AF7AD7">
        <w:t xml:space="preserve"> because the case was nearly complete</w:t>
      </w:r>
      <w:r>
        <w:t>.</w:t>
      </w:r>
      <w:r>
        <w:rPr>
          <w:rStyle w:val="FootnoteReference"/>
        </w:rPr>
        <w:footnoteReference w:id="204"/>
      </w:r>
      <w:r>
        <w:t xml:space="preserve">  The court also denied the motion to vacate the judgment, noting that SAP had “taken advantage of a full and fair opportunity to litigate the validity of the patent before this Court, before the jury, and before the Federal Circuit, even pursuing a writ</w:t>
      </w:r>
      <w:r w:rsidR="00007ABB">
        <w:t xml:space="preserve"> [of certiorari]</w:t>
      </w:r>
      <w:r>
        <w:t xml:space="preserve"> to the United States Supreme Court.”</w:t>
      </w:r>
      <w:r>
        <w:rPr>
          <w:rStyle w:val="FootnoteReference"/>
        </w:rPr>
        <w:footnoteReference w:id="205"/>
      </w:r>
      <w:r w:rsidR="0027271C">
        <w:t xml:space="preserve">  I</w:t>
      </w:r>
      <w:r>
        <w:t xml:space="preserve">n language that seems to question the Federal Circuit’s holding in </w:t>
      </w:r>
      <w:r>
        <w:rPr>
          <w:i/>
        </w:rPr>
        <w:t>Fresenius</w:t>
      </w:r>
      <w:r w:rsidR="00D44CB5">
        <w:t xml:space="preserve">, the court wrote:  </w:t>
      </w:r>
    </w:p>
    <w:p w14:paraId="3438C57A" w14:textId="6B2ACCA2" w:rsidR="00D44CB5" w:rsidRDefault="003C6B9D" w:rsidP="00D44CB5">
      <w:pPr>
        <w:pStyle w:val="BodyText"/>
        <w:ind w:left="360" w:right="360" w:firstLine="0"/>
        <w:jc w:val="both"/>
      </w:pPr>
      <w:r w:rsidRPr="007D4251">
        <w:t>To hold that</w:t>
      </w:r>
      <w:r>
        <w:t xml:space="preserve"> later proceedings before the PTAB can render nugatory that entire process, and the time and effort of all of the judges and jurors who have evaluated the evidence and arguments</w:t>
      </w:r>
      <w:r w:rsidR="00AD27B5">
        <w:t>[,]</w:t>
      </w:r>
      <w:r>
        <w:t xml:space="preserve"> would do a great disservice to the Seventh Amendment and the entire procedure put in place under Article III of the Constitution.</w:t>
      </w:r>
      <w:r>
        <w:rPr>
          <w:rStyle w:val="FootnoteReference"/>
        </w:rPr>
        <w:footnoteReference w:id="206"/>
      </w:r>
      <w:r>
        <w:t xml:space="preserve">  </w:t>
      </w:r>
    </w:p>
    <w:p w14:paraId="4A349280" w14:textId="15ADDB14" w:rsidR="003C6B9D" w:rsidRDefault="003C6B9D" w:rsidP="00D44CB5">
      <w:pPr>
        <w:pStyle w:val="BodyText"/>
        <w:ind w:firstLine="0"/>
        <w:jc w:val="both"/>
      </w:pPr>
      <w:r>
        <w:t xml:space="preserve">The court ultimately distinguished </w:t>
      </w:r>
      <w:r>
        <w:rPr>
          <w:i/>
        </w:rPr>
        <w:t>Fresenius</w:t>
      </w:r>
      <w:r>
        <w:t xml:space="preserve">, noting that the </w:t>
      </w:r>
      <w:r w:rsidR="009905F6">
        <w:t>covered business method</w:t>
      </w:r>
      <w:r w:rsidR="00AD27B5">
        <w:t xml:space="preserve"> review </w:t>
      </w:r>
      <w:r w:rsidR="0027271C">
        <w:t xml:space="preserve">proceeding </w:t>
      </w:r>
      <w:r w:rsidR="00AD27B5">
        <w:t xml:space="preserve">was </w:t>
      </w:r>
      <w:r w:rsidR="007D4251">
        <w:t xml:space="preserve">not </w:t>
      </w:r>
      <w:r w:rsidR="009905F6">
        <w:t>“</w:t>
      </w:r>
      <w:r w:rsidR="007D4251">
        <w:t>final</w:t>
      </w:r>
      <w:r w:rsidR="009905F6">
        <w:t>”</w:t>
      </w:r>
      <w:r w:rsidR="00AD27B5">
        <w:t xml:space="preserve"> because the Federal Circuit had not </w:t>
      </w:r>
      <w:r w:rsidR="0027271C">
        <w:t xml:space="preserve">yet </w:t>
      </w:r>
      <w:r w:rsidR="00AD27B5">
        <w:t xml:space="preserve">decided </w:t>
      </w:r>
      <w:proofErr w:type="spellStart"/>
      <w:r w:rsidR="00AD27B5">
        <w:t>Versata’s</w:t>
      </w:r>
      <w:proofErr w:type="spellEnd"/>
      <w:r w:rsidR="00AD27B5">
        <w:t xml:space="preserve"> appeal</w:t>
      </w:r>
      <w:r w:rsidR="007D4251">
        <w:t>.</w:t>
      </w:r>
      <w:r w:rsidR="007D4251">
        <w:rPr>
          <w:rStyle w:val="FootnoteReference"/>
        </w:rPr>
        <w:footnoteReference w:id="207"/>
      </w:r>
      <w:r w:rsidR="007D4251">
        <w:t xml:space="preserve">  B</w:t>
      </w:r>
      <w:r>
        <w:t xml:space="preserve">ut </w:t>
      </w:r>
      <w:r w:rsidR="001A0431">
        <w:t>the court</w:t>
      </w:r>
      <w:r>
        <w:t xml:space="preserve"> also wrote</w:t>
      </w:r>
      <w:r w:rsidR="00AD27B5">
        <w:t xml:space="preserve">, again </w:t>
      </w:r>
      <w:r w:rsidR="009905F6">
        <w:t xml:space="preserve">seemingly </w:t>
      </w:r>
      <w:r w:rsidR="00AD27B5">
        <w:t xml:space="preserve">challenging the Federal Circuit’s reasoning in </w:t>
      </w:r>
      <w:r w:rsidR="00AD27B5">
        <w:rPr>
          <w:i/>
        </w:rPr>
        <w:t>Fresenius</w:t>
      </w:r>
      <w:r w:rsidR="00AD27B5">
        <w:t>,</w:t>
      </w:r>
      <w:r>
        <w:t xml:space="preserve"> that “this Court does not believe that later finality will change that calculus,” as “it is the finality of the judgments issued by the Federal Courts that is at stake here.”</w:t>
      </w:r>
      <w:r>
        <w:rPr>
          <w:rStyle w:val="FootnoteReference"/>
        </w:rPr>
        <w:footnoteReference w:id="208"/>
      </w:r>
      <w:r>
        <w:t xml:space="preserve"> </w:t>
      </w:r>
    </w:p>
    <w:p w14:paraId="5DE51F3A" w14:textId="085F246B" w:rsidR="003C6B9D" w:rsidRDefault="003C6B9D" w:rsidP="003C6B9D">
      <w:pPr>
        <w:pStyle w:val="BodyText"/>
        <w:ind w:firstLine="360"/>
        <w:jc w:val="both"/>
      </w:pPr>
      <w:r>
        <w:t xml:space="preserve">SAP appealed </w:t>
      </w:r>
      <w:r w:rsidR="007D4251">
        <w:t>the district court’s</w:t>
      </w:r>
      <w:r>
        <w:t xml:space="preserve"> order to the Federal Circuit.  </w:t>
      </w:r>
      <w:proofErr w:type="spellStart"/>
      <w:r>
        <w:t>Versata</w:t>
      </w:r>
      <w:proofErr w:type="spellEnd"/>
      <w:r>
        <w:t>, again seeking to expedite resolution of the case, filed a motion for summary affirmance, arguing that SA</w:t>
      </w:r>
      <w:r w:rsidR="00305B95">
        <w:t>P was simply trying to prolong</w:t>
      </w:r>
      <w:r w:rsidR="00050E09">
        <w:t xml:space="preserve"> the </w:t>
      </w:r>
      <w:r w:rsidR="00627D89">
        <w:t>infringement litigation</w:t>
      </w:r>
      <w:r w:rsidR="00050E09">
        <w:t>.</w:t>
      </w:r>
      <w:r>
        <w:rPr>
          <w:rStyle w:val="FootnoteReference"/>
        </w:rPr>
        <w:footnoteReference w:id="209"/>
      </w:r>
      <w:r>
        <w:t xml:space="preserve">  SAP, for its part, persuasively noted that its “appeal is powered by the compelling logic that a district court should not enter judgment directing a party to pay $391 million based on a patent that the Patent Office has finally determined invalid.”</w:t>
      </w:r>
      <w:r>
        <w:rPr>
          <w:rStyle w:val="FootnoteReference"/>
        </w:rPr>
        <w:footnoteReference w:id="210"/>
      </w:r>
      <w:r>
        <w:t xml:space="preserve">  In a short order that contained </w:t>
      </w:r>
      <w:r w:rsidR="007D4251">
        <w:t xml:space="preserve">no discussion of </w:t>
      </w:r>
      <w:r w:rsidR="007D4251">
        <w:rPr>
          <w:i/>
        </w:rPr>
        <w:t>Fresenius</w:t>
      </w:r>
      <w:r>
        <w:t xml:space="preserve">, the Federal Circuit granted </w:t>
      </w:r>
      <w:proofErr w:type="spellStart"/>
      <w:r>
        <w:t>Versata’s</w:t>
      </w:r>
      <w:proofErr w:type="spellEnd"/>
      <w:r>
        <w:t xml:space="preserve"> motion and affirmed the district court’s </w:t>
      </w:r>
      <w:r w:rsidR="007D4251">
        <w:t>judgment</w:t>
      </w:r>
      <w:r w:rsidR="004B20E0">
        <w:t>, allowing the damages award to stand</w:t>
      </w:r>
      <w:r w:rsidR="0027271C">
        <w:t xml:space="preserve">, notwithstanding the contrary decision of the </w:t>
      </w:r>
      <w:r w:rsidR="00B44DB2">
        <w:t>PTO</w:t>
      </w:r>
      <w:r>
        <w:t>.</w:t>
      </w:r>
      <w:r>
        <w:rPr>
          <w:rStyle w:val="FootnoteReference"/>
        </w:rPr>
        <w:footnoteReference w:id="211"/>
      </w:r>
    </w:p>
    <w:p w14:paraId="399B95C3" w14:textId="145F56C7" w:rsidR="00050E09" w:rsidRPr="001F3BB7" w:rsidRDefault="00EE7E94" w:rsidP="003C6B9D">
      <w:pPr>
        <w:pStyle w:val="BodyText"/>
        <w:ind w:firstLine="360"/>
        <w:jc w:val="both"/>
      </w:pPr>
      <w:r>
        <w:t>T</w:t>
      </w:r>
      <w:r w:rsidR="00050E09">
        <w:t xml:space="preserve">he Federal Circuit’s decision to resolve </w:t>
      </w:r>
      <w:r w:rsidR="001F3BB7">
        <w:t xml:space="preserve">the </w:t>
      </w:r>
      <w:proofErr w:type="spellStart"/>
      <w:r w:rsidR="001F3BB7" w:rsidRPr="001F3BB7">
        <w:rPr>
          <w:i/>
        </w:rPr>
        <w:t>Versata</w:t>
      </w:r>
      <w:proofErr w:type="spellEnd"/>
      <w:r w:rsidR="00050E09">
        <w:t xml:space="preserve"> case in a summary order</w:t>
      </w:r>
      <w:r>
        <w:t xml:space="preserve"> is highly questionable</w:t>
      </w:r>
      <w:r w:rsidR="00050E09">
        <w:t>.  The case presented</w:t>
      </w:r>
      <w:r w:rsidR="00D260CF">
        <w:t xml:space="preserve"> inconsistent </w:t>
      </w:r>
      <w:r w:rsidR="00050E09">
        <w:t xml:space="preserve">validity decisions </w:t>
      </w:r>
      <w:r w:rsidR="00050E09">
        <w:lastRenderedPageBreak/>
        <w:t xml:space="preserve">between a court and the PTO, and the Federal Circuit’s decision to uphold the damages award is potentially in tension with </w:t>
      </w:r>
      <w:r w:rsidR="00050E09">
        <w:rPr>
          <w:i/>
        </w:rPr>
        <w:t>Fresenius</w:t>
      </w:r>
      <w:r w:rsidR="00050E09">
        <w:t xml:space="preserve">, in which the court </w:t>
      </w:r>
      <w:r w:rsidR="00050E09">
        <w:rPr>
          <w:i/>
        </w:rPr>
        <w:t>overturned</w:t>
      </w:r>
      <w:r w:rsidR="00050E09">
        <w:t xml:space="preserve"> an award of damages for infringement because of </w:t>
      </w:r>
      <w:r w:rsidR="00D260CF">
        <w:t>the PTO’s subsequent ruling of invalidity</w:t>
      </w:r>
      <w:r w:rsidR="00050E09">
        <w:t xml:space="preserve">.  </w:t>
      </w:r>
      <w:r w:rsidR="009905F6">
        <w:t xml:space="preserve">Although the </w:t>
      </w:r>
      <w:r w:rsidR="001F3BB7">
        <w:t>Federal Circuit</w:t>
      </w:r>
      <w:r w:rsidR="0027271C">
        <w:t xml:space="preserve"> offered no reasoning,</w:t>
      </w:r>
      <w:r w:rsidR="009905F6">
        <w:t xml:space="preserve"> it is </w:t>
      </w:r>
      <w:r w:rsidR="00050E09">
        <w:t xml:space="preserve">nonetheless </w:t>
      </w:r>
      <w:r w:rsidR="009905F6">
        <w:t>possible to r</w:t>
      </w:r>
      <w:r w:rsidR="007D4251">
        <w:t>econcile</w:t>
      </w:r>
      <w:r w:rsidR="00B44DB2">
        <w:t xml:space="preserve"> </w:t>
      </w:r>
      <w:proofErr w:type="spellStart"/>
      <w:r w:rsidR="003C6B9D">
        <w:rPr>
          <w:i/>
        </w:rPr>
        <w:t>Versata</w:t>
      </w:r>
      <w:proofErr w:type="spellEnd"/>
      <w:r w:rsidR="00B44DB2">
        <w:t xml:space="preserve"> with</w:t>
      </w:r>
      <w:r w:rsidR="00050E09">
        <w:t xml:space="preserve"> </w:t>
      </w:r>
      <w:r w:rsidR="00050E09">
        <w:rPr>
          <w:i/>
        </w:rPr>
        <w:t>Fresenius</w:t>
      </w:r>
      <w:r w:rsidR="009905F6">
        <w:t>.</w:t>
      </w:r>
      <w:r w:rsidR="003C6B9D">
        <w:t xml:space="preserve">  </w:t>
      </w:r>
      <w:r w:rsidR="009905F6">
        <w:t xml:space="preserve">In </w:t>
      </w:r>
      <w:proofErr w:type="spellStart"/>
      <w:r w:rsidR="009905F6">
        <w:rPr>
          <w:i/>
        </w:rPr>
        <w:t>Versata</w:t>
      </w:r>
      <w:proofErr w:type="spellEnd"/>
      <w:r w:rsidR="009905F6">
        <w:t xml:space="preserve">, </w:t>
      </w:r>
      <w:r w:rsidR="003C6B9D">
        <w:t xml:space="preserve">the </w:t>
      </w:r>
      <w:r w:rsidR="0027271C">
        <w:t>PTO</w:t>
      </w:r>
      <w:r w:rsidR="003C6B9D">
        <w:t xml:space="preserve"> had invalidated </w:t>
      </w:r>
      <w:proofErr w:type="spellStart"/>
      <w:r w:rsidR="003C6B9D">
        <w:t>Versata’s</w:t>
      </w:r>
      <w:proofErr w:type="spellEnd"/>
      <w:r w:rsidR="003C6B9D">
        <w:t xml:space="preserve"> patent, </w:t>
      </w:r>
      <w:r w:rsidR="0027271C">
        <w:t xml:space="preserve">but the PTO </w:t>
      </w:r>
      <w:r w:rsidR="004B20E0">
        <w:t xml:space="preserve">proceeding was not </w:t>
      </w:r>
      <w:r>
        <w:t>entirely concluded</w:t>
      </w:r>
      <w:r w:rsidR="00AB5A11">
        <w:t xml:space="preserve"> because</w:t>
      </w:r>
      <w:r w:rsidR="003C6B9D">
        <w:t xml:space="preserve">, </w:t>
      </w:r>
      <w:r w:rsidR="009905F6">
        <w:t xml:space="preserve">unlike in </w:t>
      </w:r>
      <w:r w:rsidR="009905F6">
        <w:rPr>
          <w:i/>
        </w:rPr>
        <w:t>Fresenius</w:t>
      </w:r>
      <w:r w:rsidR="009905F6">
        <w:t xml:space="preserve">, the Federal Circuit had </w:t>
      </w:r>
      <w:r w:rsidR="00AB5A11">
        <w:t>not yet</w:t>
      </w:r>
      <w:r w:rsidR="009905F6">
        <w:t xml:space="preserve"> affirmed the PTO’s decision</w:t>
      </w:r>
      <w:r w:rsidR="00A76110">
        <w:t xml:space="preserve">. </w:t>
      </w:r>
      <w:r w:rsidR="009905F6">
        <w:t xml:space="preserve"> </w:t>
      </w:r>
      <w:r w:rsidR="001F3BB7">
        <w:t xml:space="preserve">In </w:t>
      </w:r>
      <w:r w:rsidR="001F3BB7">
        <w:rPr>
          <w:i/>
        </w:rPr>
        <w:t>Fresenius</w:t>
      </w:r>
      <w:r w:rsidR="001F3BB7">
        <w:t xml:space="preserve">, by contrast, the PTO proceeding </w:t>
      </w:r>
      <w:r w:rsidR="001F3BB7">
        <w:rPr>
          <w:i/>
        </w:rPr>
        <w:t xml:space="preserve">was </w:t>
      </w:r>
      <w:r>
        <w:t>entirely concluded</w:t>
      </w:r>
      <w:r w:rsidR="001F3BB7">
        <w:t xml:space="preserve"> once the Federal Circuit affirmed the PTO’s decision, so </w:t>
      </w:r>
      <w:r w:rsidR="00D260CF">
        <w:t>the PTO’s ruling of invalidity took precedence over</w:t>
      </w:r>
      <w:r w:rsidR="001F3BB7">
        <w:t xml:space="preserve"> the district court’s rulings in the still-pending litigation.</w:t>
      </w:r>
    </w:p>
    <w:p w14:paraId="39EBCF09" w14:textId="7A6435F8" w:rsidR="003C6B9D" w:rsidRDefault="00D273E4" w:rsidP="003C6B9D">
      <w:pPr>
        <w:pStyle w:val="BodyText"/>
        <w:ind w:firstLine="360"/>
        <w:jc w:val="both"/>
      </w:pPr>
      <w:r>
        <w:t>Doctrine aside, however</w:t>
      </w:r>
      <w:r w:rsidR="003C6B9D">
        <w:t xml:space="preserve">, </w:t>
      </w:r>
      <w:r w:rsidR="007D4251">
        <w:t xml:space="preserve">the result </w:t>
      </w:r>
      <w:r w:rsidR="00904311">
        <w:t>in</w:t>
      </w:r>
      <w:r w:rsidR="007D4251">
        <w:t xml:space="preserve"> </w:t>
      </w:r>
      <w:proofErr w:type="spellStart"/>
      <w:r w:rsidR="007D4251">
        <w:rPr>
          <w:i/>
        </w:rPr>
        <w:t>Versata</w:t>
      </w:r>
      <w:proofErr w:type="spellEnd"/>
      <w:r w:rsidR="007D4251">
        <w:rPr>
          <w:i/>
        </w:rPr>
        <w:t xml:space="preserve"> </w:t>
      </w:r>
      <w:r w:rsidR="009A3307">
        <w:t xml:space="preserve">could not have been </w:t>
      </w:r>
      <w:r w:rsidR="007D4251">
        <w:t xml:space="preserve">fully satisfying to either party.  </w:t>
      </w:r>
      <w:proofErr w:type="spellStart"/>
      <w:r w:rsidR="003C6B9D">
        <w:t>Versata</w:t>
      </w:r>
      <w:proofErr w:type="spellEnd"/>
      <w:r w:rsidR="007D4251">
        <w:t xml:space="preserve">, although it was able to </w:t>
      </w:r>
      <w:r w:rsidR="00904311">
        <w:t>preserve its</w:t>
      </w:r>
      <w:r w:rsidR="007D4251">
        <w:t xml:space="preserve"> damage</w:t>
      </w:r>
      <w:r w:rsidR="00050E09">
        <w:t>s</w:t>
      </w:r>
      <w:r w:rsidR="007D4251">
        <w:t xml:space="preserve"> award,</w:t>
      </w:r>
      <w:r w:rsidR="003C6B9D">
        <w:t xml:space="preserve"> was forced to abandon </w:t>
      </w:r>
      <w:r w:rsidR="007D4251">
        <w:t>its request for</w:t>
      </w:r>
      <w:r w:rsidR="003C6B9D">
        <w:t xml:space="preserve"> injunctive relief</w:t>
      </w:r>
      <w:r w:rsidR="00904311">
        <w:t xml:space="preserve"> in order to expedite finality</w:t>
      </w:r>
      <w:r w:rsidR="003C6B9D">
        <w:t xml:space="preserve">, even </w:t>
      </w:r>
      <w:r w:rsidR="007D4251">
        <w:t>though both</w:t>
      </w:r>
      <w:r w:rsidR="003C6B9D">
        <w:t xml:space="preserve"> the </w:t>
      </w:r>
      <w:r w:rsidR="007D4251">
        <w:t>district court and the Federal Circuit</w:t>
      </w:r>
      <w:r w:rsidR="003C6B9D">
        <w:t xml:space="preserve"> had </w:t>
      </w:r>
      <w:r w:rsidR="0027271C">
        <w:t>ruled</w:t>
      </w:r>
      <w:r w:rsidR="003C6B9D">
        <w:t xml:space="preserve"> that </w:t>
      </w:r>
      <w:proofErr w:type="spellStart"/>
      <w:r w:rsidR="003C6B9D">
        <w:t>Versata</w:t>
      </w:r>
      <w:proofErr w:type="spellEnd"/>
      <w:r w:rsidR="003C6B9D">
        <w:t xml:space="preserve"> was entitled to </w:t>
      </w:r>
      <w:r w:rsidR="007D4251">
        <w:t>an injunction</w:t>
      </w:r>
      <w:r w:rsidR="003C6B9D">
        <w:t xml:space="preserve">. </w:t>
      </w:r>
      <w:r w:rsidR="00904311">
        <w:t xml:space="preserve"> </w:t>
      </w:r>
      <w:r w:rsidR="003C6B9D">
        <w:t xml:space="preserve">SAP, on the other hand, was </w:t>
      </w:r>
      <w:r w:rsidR="007D4251">
        <w:t>saddled with</w:t>
      </w:r>
      <w:r w:rsidR="003C6B9D">
        <w:t xml:space="preserve"> </w:t>
      </w:r>
      <w:r w:rsidR="007D4251">
        <w:t xml:space="preserve">a </w:t>
      </w:r>
      <w:r w:rsidR="003C6B9D">
        <w:t xml:space="preserve">$391 million </w:t>
      </w:r>
      <w:r w:rsidR="007D4251">
        <w:t xml:space="preserve">judgment </w:t>
      </w:r>
      <w:r w:rsidR="003C6B9D">
        <w:t xml:space="preserve">for </w:t>
      </w:r>
      <w:r w:rsidR="0027271C">
        <w:t>infringing</w:t>
      </w:r>
      <w:r w:rsidR="003C6B9D">
        <w:t xml:space="preserve"> a patent </w:t>
      </w:r>
      <w:r w:rsidR="00904311">
        <w:t>th</w:t>
      </w:r>
      <w:r w:rsidR="00A76110">
        <w:t>at</w:t>
      </w:r>
      <w:r w:rsidR="00904311">
        <w:t xml:space="preserve"> PTO now believes</w:t>
      </w:r>
      <w:r w:rsidR="00A76110">
        <w:t>—and the Federal Circuit has since affirmed</w:t>
      </w:r>
      <w:r w:rsidR="00A76110">
        <w:rPr>
          <w:rStyle w:val="FootnoteReference"/>
        </w:rPr>
        <w:footnoteReference w:id="212"/>
      </w:r>
      <w:r w:rsidR="00A76110">
        <w:t>—</w:t>
      </w:r>
      <w:r w:rsidR="00904311">
        <w:t xml:space="preserve"> never should have issued</w:t>
      </w:r>
      <w:r w:rsidR="003C6B9D">
        <w:t>.</w:t>
      </w:r>
      <w:r w:rsidR="00AF7AD7">
        <w:rPr>
          <w:rStyle w:val="FootnoteReference"/>
        </w:rPr>
        <w:footnoteReference w:id="213"/>
      </w:r>
      <w:r w:rsidR="00B44DB2">
        <w:t xml:space="preserve">  </w:t>
      </w:r>
      <w:proofErr w:type="spellStart"/>
      <w:r w:rsidR="00B44DB2">
        <w:rPr>
          <w:i/>
        </w:rPr>
        <w:t>Versata</w:t>
      </w:r>
      <w:proofErr w:type="spellEnd"/>
      <w:r w:rsidR="00B44DB2">
        <w:t xml:space="preserve"> thus illustrates the procedural maneuvering that the absolute finality rule encourages</w:t>
      </w:r>
      <w:r>
        <w:t>, the difficult strategic decisions the rule requires, and</w:t>
      </w:r>
      <w:r w:rsidR="00B44DB2">
        <w:t xml:space="preserve"> the potential unfairn</w:t>
      </w:r>
      <w:r w:rsidR="00915E22">
        <w:t>ess that can result when a PTO</w:t>
      </w:r>
      <w:r w:rsidR="00B44DB2">
        <w:t xml:space="preserve"> decision of invalidity comes just a little too late.  </w:t>
      </w:r>
      <w:r w:rsidR="00A76110">
        <w:t xml:space="preserve"> </w:t>
      </w:r>
    </w:p>
    <w:p w14:paraId="26725361" w14:textId="0AFE4D24" w:rsidR="003C6B9D" w:rsidRPr="004663E8" w:rsidRDefault="004663E8" w:rsidP="004663E8">
      <w:pPr>
        <w:keepNext/>
        <w:tabs>
          <w:tab w:val="left" w:pos="720"/>
        </w:tabs>
        <w:ind w:left="720" w:hanging="360"/>
        <w:rPr>
          <w:i/>
        </w:rPr>
      </w:pPr>
      <w:r w:rsidRPr="004663E8">
        <w:rPr>
          <w:i/>
        </w:rPr>
        <w:t>3</w:t>
      </w:r>
      <w:r w:rsidR="003C6B9D" w:rsidRPr="004663E8">
        <w:rPr>
          <w:i/>
        </w:rPr>
        <w:t>.</w:t>
      </w:r>
      <w:r w:rsidR="003C6B9D" w:rsidRPr="004663E8">
        <w:rPr>
          <w:i/>
        </w:rPr>
        <w:tab/>
      </w:r>
      <w:r w:rsidR="00D20C4B" w:rsidRPr="004663E8">
        <w:rPr>
          <w:i/>
        </w:rPr>
        <w:t>Extension</w:t>
      </w:r>
    </w:p>
    <w:p w14:paraId="0AF5722E" w14:textId="44C5AE61" w:rsidR="003C6B9D" w:rsidRDefault="00E87E20" w:rsidP="003C6B9D">
      <w:pPr>
        <w:pStyle w:val="BodyText"/>
        <w:ind w:firstLine="360"/>
        <w:jc w:val="both"/>
      </w:pPr>
      <w:r>
        <w:t>The Federal Circuit’s most recent decision in this line of cases</w:t>
      </w:r>
      <w:r w:rsidR="009A3307">
        <w:t xml:space="preserve">, </w:t>
      </w:r>
      <w:proofErr w:type="spellStart"/>
      <w:r w:rsidR="009A3307">
        <w:rPr>
          <w:i/>
        </w:rPr>
        <w:t>ePlus</w:t>
      </w:r>
      <w:proofErr w:type="spellEnd"/>
      <w:r w:rsidR="00915E22">
        <w:rPr>
          <w:i/>
        </w:rPr>
        <w:t xml:space="preserve"> v. Lawson</w:t>
      </w:r>
      <w:r w:rsidR="009A3307">
        <w:t>,</w:t>
      </w:r>
      <w:r>
        <w:t xml:space="preserve"> </w:t>
      </w:r>
      <w:r w:rsidR="0041193B">
        <w:t>extended</w:t>
      </w:r>
      <w:r w:rsidR="007C30A0">
        <w:t xml:space="preserve"> the absolute finality rule by allowing an infringer to rely on a PTO decision of invalidity to abrogate a court order holding the infringer in contempt</w:t>
      </w:r>
      <w:r w:rsidR="003C6B9D">
        <w:t>.</w:t>
      </w:r>
      <w:r w:rsidR="003C6B9D">
        <w:rPr>
          <w:rStyle w:val="FootnoteReference"/>
        </w:rPr>
        <w:footnoteReference w:id="214"/>
      </w:r>
      <w:r w:rsidR="003C6B9D">
        <w:t xml:space="preserve">  In </w:t>
      </w:r>
      <w:r w:rsidR="00D31A32">
        <w:t>that case</w:t>
      </w:r>
      <w:r w:rsidR="003C6B9D">
        <w:t xml:space="preserve">, </w:t>
      </w:r>
      <w:proofErr w:type="spellStart"/>
      <w:r w:rsidR="003C6B9D">
        <w:t>ePlus</w:t>
      </w:r>
      <w:proofErr w:type="spellEnd"/>
      <w:r w:rsidR="003C6B9D">
        <w:t xml:space="preserve"> sued Lawson for infringement of U.S. Patent</w:t>
      </w:r>
      <w:r w:rsidR="00904311">
        <w:t>s No</w:t>
      </w:r>
      <w:r w:rsidR="003C6B9D">
        <w:t>. 6,023,683 (the ’683 patent) and 6,505,172 (the ’172 patent).</w:t>
      </w:r>
      <w:r w:rsidR="003C6B9D">
        <w:rPr>
          <w:rStyle w:val="FootnoteReference"/>
        </w:rPr>
        <w:footnoteReference w:id="215"/>
      </w:r>
      <w:r w:rsidR="003C6B9D">
        <w:t xml:space="preserve">  The </w:t>
      </w:r>
      <w:r w:rsidR="008C140D">
        <w:t>patents claim</w:t>
      </w:r>
      <w:r w:rsidR="003C6B9D">
        <w:t xml:space="preserve"> methods and systems of using electronic databases to search for product information and to order products from third-party vendors.</w:t>
      </w:r>
      <w:r w:rsidR="003C6B9D">
        <w:rPr>
          <w:rStyle w:val="FootnoteReference"/>
        </w:rPr>
        <w:footnoteReference w:id="216"/>
      </w:r>
      <w:r w:rsidR="003C6B9D">
        <w:t xml:space="preserve">  The allegedly infringing software sold by Lawson was modular, meaning that Lawson’s customers could </w:t>
      </w:r>
      <w:r w:rsidR="006033BB">
        <w:t>choose to buy</w:t>
      </w:r>
      <w:r w:rsidR="003C6B9D">
        <w:t xml:space="preserve"> </w:t>
      </w:r>
      <w:r w:rsidR="008C140D">
        <w:t xml:space="preserve">particular </w:t>
      </w:r>
      <w:r w:rsidR="003C6B9D">
        <w:t>software components depending on their needs.</w:t>
      </w:r>
      <w:r w:rsidR="003C6B9D">
        <w:rPr>
          <w:rStyle w:val="FootnoteReference"/>
        </w:rPr>
        <w:footnoteReference w:id="217"/>
      </w:r>
      <w:r w:rsidR="003C6B9D">
        <w:t xml:space="preserve">  </w:t>
      </w:r>
      <w:proofErr w:type="spellStart"/>
      <w:proofErr w:type="gramStart"/>
      <w:r w:rsidR="003C6B9D">
        <w:t>ePlus</w:t>
      </w:r>
      <w:proofErr w:type="spellEnd"/>
      <w:proofErr w:type="gramEnd"/>
      <w:r w:rsidR="003C6B9D">
        <w:t xml:space="preserve"> </w:t>
      </w:r>
      <w:r w:rsidR="00DE5826">
        <w:t xml:space="preserve">alleged infringement by </w:t>
      </w:r>
      <w:r w:rsidR="003C6B9D">
        <w:t>five different configurations of Lawson’s</w:t>
      </w:r>
      <w:r w:rsidR="00037728">
        <w:t xml:space="preserve"> </w:t>
      </w:r>
      <w:r w:rsidR="00037728">
        <w:lastRenderedPageBreak/>
        <w:t>software</w:t>
      </w:r>
      <w:r w:rsidR="003C6B9D">
        <w:t>, referred to by the Federal Circuit as “Configurations 1-5.”</w:t>
      </w:r>
      <w:r w:rsidR="003C6B9D">
        <w:rPr>
          <w:rStyle w:val="FootnoteReference"/>
        </w:rPr>
        <w:footnoteReference w:id="218"/>
      </w:r>
      <w:r w:rsidR="003C6B9D">
        <w:t xml:space="preserve">  The jury found that Configurations 3 and 5 infringed both claim 1 of the ’172 patent and claims </w:t>
      </w:r>
      <w:r w:rsidR="00904311">
        <w:t xml:space="preserve">3, </w:t>
      </w:r>
      <w:r w:rsidR="003C6B9D">
        <w:t>26, 28, and 29 of the ’683 patent and that Configuration 2 infringed claim 1 of the ’172 patent.</w:t>
      </w:r>
      <w:r w:rsidR="003C6B9D">
        <w:rPr>
          <w:rStyle w:val="FootnoteReference"/>
        </w:rPr>
        <w:footnoteReference w:id="219"/>
      </w:r>
      <w:r w:rsidR="003C6B9D">
        <w:t xml:space="preserve">  The jury found that Configurations 1 and 4 did not infringe any of </w:t>
      </w:r>
      <w:proofErr w:type="spellStart"/>
      <w:r w:rsidR="00F42425">
        <w:t>ePlus’s</w:t>
      </w:r>
      <w:proofErr w:type="spellEnd"/>
      <w:r w:rsidR="003C6B9D">
        <w:t xml:space="preserve"> asserted </w:t>
      </w:r>
      <w:r w:rsidR="00F42425">
        <w:t xml:space="preserve">patent </w:t>
      </w:r>
      <w:r w:rsidR="003C6B9D">
        <w:t>claims.</w:t>
      </w:r>
      <w:r w:rsidR="003C6B9D">
        <w:rPr>
          <w:rStyle w:val="FootnoteReference"/>
        </w:rPr>
        <w:footnoteReference w:id="220"/>
      </w:r>
    </w:p>
    <w:p w14:paraId="2E76FF78" w14:textId="77397C57" w:rsidR="00E8084F" w:rsidRDefault="00D31A32" w:rsidP="003C6B9D">
      <w:pPr>
        <w:pStyle w:val="BodyText"/>
        <w:ind w:firstLine="360"/>
        <w:jc w:val="both"/>
      </w:pPr>
      <w:r>
        <w:t>T</w:t>
      </w:r>
      <w:r w:rsidR="008C140D">
        <w:t xml:space="preserve">he Federal Circuit reversed in part, ruling that </w:t>
      </w:r>
      <w:r w:rsidR="00F42425">
        <w:t xml:space="preserve">claim 1 of the ’172 patent and claim 3 of the ’683 patent </w:t>
      </w:r>
      <w:r w:rsidR="008C140D">
        <w:t>were invalid and that clai</w:t>
      </w:r>
      <w:r w:rsidR="00F42425">
        <w:t>ms 28 and 29 of the ’683 patent</w:t>
      </w:r>
      <w:r w:rsidR="008C140D">
        <w:t xml:space="preserve"> were not infringed.</w:t>
      </w:r>
      <w:r w:rsidR="008C140D">
        <w:rPr>
          <w:rStyle w:val="FootnoteReference"/>
        </w:rPr>
        <w:footnoteReference w:id="221"/>
      </w:r>
      <w:r w:rsidR="008C140D">
        <w:t xml:space="preserve">  The Federal Circuit, however, affirmed the district court’s finding that claim 26 of the ’683 patent was infringed.</w:t>
      </w:r>
      <w:r w:rsidR="00E8084F">
        <w:rPr>
          <w:rStyle w:val="FootnoteReference"/>
        </w:rPr>
        <w:footnoteReference w:id="222"/>
      </w:r>
      <w:r w:rsidR="008C140D">
        <w:t xml:space="preserve">  Because only Configurations 3 and 5 infringed that claim, the Federal Circuit “remand[</w:t>
      </w:r>
      <w:proofErr w:type="spellStart"/>
      <w:r w:rsidR="008C140D">
        <w:t>ed</w:t>
      </w:r>
      <w:proofErr w:type="spellEnd"/>
      <w:r w:rsidR="008C140D">
        <w:t>] for the district court to consider what changes are required to the terms of the in</w:t>
      </w:r>
      <w:r w:rsidR="005262B9">
        <w:t>j</w:t>
      </w:r>
      <w:r w:rsidR="008C140D">
        <w:t>unction consistent with this opinion.”</w:t>
      </w:r>
      <w:r w:rsidR="008C140D">
        <w:rPr>
          <w:rStyle w:val="FootnoteReference"/>
        </w:rPr>
        <w:footnoteReference w:id="223"/>
      </w:r>
      <w:r w:rsidR="008C140D">
        <w:t xml:space="preserve">   </w:t>
      </w:r>
    </w:p>
    <w:p w14:paraId="528BEF4C" w14:textId="7B1917D1" w:rsidR="00E8084F" w:rsidRDefault="00E8084F" w:rsidP="003C6B9D">
      <w:pPr>
        <w:pStyle w:val="BodyText"/>
        <w:ind w:firstLine="360"/>
        <w:jc w:val="both"/>
      </w:pPr>
      <w:r>
        <w:t xml:space="preserve">On remand, the district court deleted </w:t>
      </w:r>
      <w:r w:rsidR="00773EF7">
        <w:t xml:space="preserve">from the injunction </w:t>
      </w:r>
      <w:r>
        <w:t>Configuration 2</w:t>
      </w:r>
      <w:r w:rsidR="00773EF7">
        <w:t>, which infringed only a patent claim that the Federal Circuit had ruled to be invalid</w:t>
      </w:r>
      <w:r>
        <w:t>.</w:t>
      </w:r>
      <w:r>
        <w:rPr>
          <w:rStyle w:val="FootnoteReference"/>
        </w:rPr>
        <w:footnoteReference w:id="224"/>
      </w:r>
      <w:r>
        <w:t xml:space="preserve">  The court also found Lawson in contempt, ruling that its redesigned software continued to infringe claim 26 of the ’683 patent.</w:t>
      </w:r>
      <w:r>
        <w:rPr>
          <w:rStyle w:val="FootnoteReference"/>
        </w:rPr>
        <w:footnoteReference w:id="225"/>
      </w:r>
      <w:r>
        <w:t xml:space="preserve">  The court ordered Lawson to pay a compensatory fine of roughly $18.2 million and coercive daily fines of roughly $62,000 until </w:t>
      </w:r>
      <w:r w:rsidR="00FA0388">
        <w:t>it</w:t>
      </w:r>
      <w:r>
        <w:t xml:space="preserve"> complied with the injunction.</w:t>
      </w:r>
      <w:r>
        <w:rPr>
          <w:rStyle w:val="FootnoteReference"/>
        </w:rPr>
        <w:footnoteReference w:id="226"/>
      </w:r>
      <w:r>
        <w:t xml:space="preserve">  </w:t>
      </w:r>
      <w:r w:rsidR="00D31A32">
        <w:t xml:space="preserve">From that </w:t>
      </w:r>
      <w:r w:rsidR="00773EF7">
        <w:t xml:space="preserve">contempt </w:t>
      </w:r>
      <w:r w:rsidR="00D31A32">
        <w:t>order,</w:t>
      </w:r>
      <w:r w:rsidR="009C7AD9">
        <w:t xml:space="preserve"> </w:t>
      </w:r>
      <w:r>
        <w:t>Lawson again appealed to the Federal Circuit.</w:t>
      </w:r>
    </w:p>
    <w:p w14:paraId="0529FC32" w14:textId="62B8CC38" w:rsidR="003C6B9D" w:rsidRDefault="00E8084F" w:rsidP="003C6B9D">
      <w:pPr>
        <w:pStyle w:val="BodyText"/>
        <w:ind w:firstLine="360"/>
        <w:jc w:val="both"/>
      </w:pPr>
      <w:r>
        <w:t>Meanwhile, claim 26 had been undergoing ex</w:t>
      </w:r>
      <w:r w:rsidR="00050E09">
        <w:t xml:space="preserve"> parte reexamination at the PTO</w:t>
      </w:r>
      <w:r>
        <w:t xml:space="preserve"> in proceedings instituted </w:t>
      </w:r>
      <w:r w:rsidR="00904311">
        <w:t>by SAP</w:t>
      </w:r>
      <w:r w:rsidR="00DE5826">
        <w:t xml:space="preserve">, who was </w:t>
      </w:r>
      <w:r w:rsidR="000114D9">
        <w:t xml:space="preserve">a defendant in a previous infringement suit filed by </w:t>
      </w:r>
      <w:proofErr w:type="spellStart"/>
      <w:r w:rsidR="000114D9">
        <w:t>ePlus</w:t>
      </w:r>
      <w:proofErr w:type="spellEnd"/>
      <w:r>
        <w:t>.</w:t>
      </w:r>
      <w:r w:rsidR="00904311">
        <w:rPr>
          <w:rStyle w:val="FootnoteReference"/>
        </w:rPr>
        <w:footnoteReference w:id="227"/>
      </w:r>
      <w:r w:rsidR="009C7AD9">
        <w:t xml:space="preserve">  </w:t>
      </w:r>
      <w:r w:rsidR="00D31A32">
        <w:t>T</w:t>
      </w:r>
      <w:r w:rsidR="009C7AD9">
        <w:t xml:space="preserve">he </w:t>
      </w:r>
      <w:r w:rsidR="005838E1">
        <w:t>Board of Patent Appeals and Interferences</w:t>
      </w:r>
      <w:r w:rsidR="009C7AD9">
        <w:t xml:space="preserve"> </w:t>
      </w:r>
      <w:r w:rsidR="00D31A32">
        <w:t xml:space="preserve">eventually </w:t>
      </w:r>
      <w:r w:rsidR="009C7AD9">
        <w:t xml:space="preserve">issued a final decision invalidating </w:t>
      </w:r>
      <w:r w:rsidR="00A72ADE">
        <w:t>claim 26</w:t>
      </w:r>
      <w:r w:rsidR="00D31A32">
        <w:t>,</w:t>
      </w:r>
      <w:r w:rsidR="009C7AD9">
        <w:rPr>
          <w:rStyle w:val="FootnoteReference"/>
        </w:rPr>
        <w:footnoteReference w:id="228"/>
      </w:r>
      <w:r w:rsidR="009C7AD9">
        <w:t xml:space="preserve"> </w:t>
      </w:r>
      <w:r w:rsidR="00D31A32">
        <w:t>and, w</w:t>
      </w:r>
      <w:r w:rsidR="009C7AD9">
        <w:t xml:space="preserve">hile Lawson’s appeal from the contempt order was pending, the Federal Circuit affirmed </w:t>
      </w:r>
      <w:r w:rsidR="00154CE3">
        <w:t xml:space="preserve">the </w:t>
      </w:r>
      <w:r w:rsidR="005838E1">
        <w:t>Board’s</w:t>
      </w:r>
      <w:r w:rsidR="00154CE3">
        <w:t xml:space="preserve"> decision</w:t>
      </w:r>
      <w:r w:rsidR="009C7AD9">
        <w:t>.</w:t>
      </w:r>
      <w:r w:rsidR="009C7AD9">
        <w:rPr>
          <w:rStyle w:val="FootnoteReference"/>
        </w:rPr>
        <w:footnoteReference w:id="229"/>
      </w:r>
      <w:r w:rsidR="00C06E38">
        <w:t xml:space="preserve">  </w:t>
      </w:r>
    </w:p>
    <w:p w14:paraId="2D80F676" w14:textId="05F091DE" w:rsidR="008454AB" w:rsidRDefault="00C06E38" w:rsidP="00050E09">
      <w:pPr>
        <w:tabs>
          <w:tab w:val="left" w:pos="360"/>
        </w:tabs>
        <w:jc w:val="both"/>
      </w:pPr>
      <w:r>
        <w:lastRenderedPageBreak/>
        <w:t xml:space="preserve">On </w:t>
      </w:r>
      <w:r w:rsidR="00D260CF">
        <w:t>Lawson’s</w:t>
      </w:r>
      <w:r w:rsidR="00154CE3">
        <w:t xml:space="preserve"> </w:t>
      </w:r>
      <w:r>
        <w:t xml:space="preserve">appeal from the contempt order, the Federal Circuit panel unanimously vacated the injunction </w:t>
      </w:r>
      <w:r w:rsidR="00050E09">
        <w:t xml:space="preserve">prospectively </w:t>
      </w:r>
      <w:r>
        <w:t xml:space="preserve">because the PTO had </w:t>
      </w:r>
      <w:r w:rsidR="00182E67">
        <w:t>invalidated</w:t>
      </w:r>
      <w:r>
        <w:t xml:space="preserve"> the patent claim on which the injunction was based.</w:t>
      </w:r>
      <w:r>
        <w:rPr>
          <w:rStyle w:val="FootnoteReference"/>
        </w:rPr>
        <w:footnoteReference w:id="230"/>
      </w:r>
      <w:r w:rsidR="00050E09">
        <w:t xml:space="preserve">  </w:t>
      </w:r>
      <w:r>
        <w:t>The court then confronted the sanctions</w:t>
      </w:r>
      <w:r w:rsidR="00F42425">
        <w:t xml:space="preserve"> the district court </w:t>
      </w:r>
      <w:r w:rsidR="00FA0388">
        <w:t xml:space="preserve">had </w:t>
      </w:r>
      <w:r w:rsidR="00F42425">
        <w:t>awarded for Lawson’s past violations of the injunction</w:t>
      </w:r>
      <w:r w:rsidR="00773EF7">
        <w:t>, that is, for the violations that occurred before the</w:t>
      </w:r>
      <w:r w:rsidR="00832E69">
        <w:t xml:space="preserve"> PTO invalidated the patent </w:t>
      </w:r>
      <w:r w:rsidR="00773EF7">
        <w:t>in reexamination</w:t>
      </w:r>
      <w:r>
        <w:t xml:space="preserve">.  The majority (Judge </w:t>
      </w:r>
      <w:proofErr w:type="spellStart"/>
      <w:r>
        <w:t>Dyk</w:t>
      </w:r>
      <w:proofErr w:type="spellEnd"/>
      <w:r>
        <w:t xml:space="preserve">, joined by Chief Judge Prost) </w:t>
      </w:r>
      <w:r w:rsidR="00FA0388">
        <w:t xml:space="preserve">relied on </w:t>
      </w:r>
      <w:r w:rsidR="00FA0388">
        <w:rPr>
          <w:i/>
        </w:rPr>
        <w:t xml:space="preserve">Fresenius </w:t>
      </w:r>
      <w:r w:rsidR="00FA0388">
        <w:t>to vacate</w:t>
      </w:r>
      <w:r>
        <w:t xml:space="preserve"> the sanction</w:t>
      </w:r>
      <w:r w:rsidR="00773EF7">
        <w:t>s</w:t>
      </w:r>
      <w:r>
        <w:t xml:space="preserve"> order.  In </w:t>
      </w:r>
      <w:r>
        <w:rPr>
          <w:i/>
        </w:rPr>
        <w:t>Fresenius</w:t>
      </w:r>
      <w:r>
        <w:t xml:space="preserve">, the court explained, </w:t>
      </w:r>
      <w:r w:rsidRPr="00EB33CC">
        <w:t>“[w]e held . . . that even if this court has rejected an invalidity defense to infringement, an intervening decision invalidating the patents unquestionably applies as long as the judgment</w:t>
      </w:r>
      <w:r w:rsidR="006B644B">
        <w:t>” in the infringement case “</w:t>
      </w:r>
      <w:r w:rsidRPr="00EB33CC">
        <w:t>is not final.”</w:t>
      </w:r>
      <w:r>
        <w:rPr>
          <w:rStyle w:val="FootnoteReference"/>
        </w:rPr>
        <w:footnoteReference w:id="231"/>
      </w:r>
      <w:r>
        <w:t xml:space="preserve">  As to finality, the court explain</w:t>
      </w:r>
      <w:r w:rsidR="006C4E02">
        <w:t>ed</w:t>
      </w:r>
      <w:r>
        <w:t xml:space="preserve"> that “where the scope of relief remains to be determine</w:t>
      </w:r>
      <w:r w:rsidR="00D260CF">
        <w:t>d, there is no final judgment</w:t>
      </w:r>
      <w:r>
        <w:t>.”</w:t>
      </w:r>
      <w:r>
        <w:rPr>
          <w:rStyle w:val="FootnoteReference"/>
        </w:rPr>
        <w:footnoteReference w:id="232"/>
      </w:r>
      <w:r w:rsidR="00EB33CC">
        <w:t xml:space="preserve">  In the court’s view, </w:t>
      </w:r>
      <w:r w:rsidR="00D273E4">
        <w:t xml:space="preserve">its </w:t>
      </w:r>
      <w:r w:rsidR="00D31A32">
        <w:t>remand</w:t>
      </w:r>
      <w:r w:rsidR="00D273E4">
        <w:t xml:space="preserve"> in t</w:t>
      </w:r>
      <w:r w:rsidR="00D31A32">
        <w:t>he first appeal</w:t>
      </w:r>
      <w:r w:rsidR="00D273E4">
        <w:t xml:space="preserve"> meant that the scope of the injunction was still an open question </w:t>
      </w:r>
      <w:r w:rsidR="00BB40F3">
        <w:t xml:space="preserve">at the time the PTO </w:t>
      </w:r>
      <w:r w:rsidR="00182E67">
        <w:t>invalidated</w:t>
      </w:r>
      <w:r w:rsidR="00BB40F3">
        <w:t xml:space="preserve"> claim 26.</w:t>
      </w:r>
      <w:r w:rsidR="00D273E4">
        <w:rPr>
          <w:rStyle w:val="FootnoteReference"/>
        </w:rPr>
        <w:footnoteReference w:id="233"/>
      </w:r>
      <w:r w:rsidR="00D273E4">
        <w:t xml:space="preserve">  </w:t>
      </w:r>
      <w:r w:rsidR="00BB40F3">
        <w:t>Thus</w:t>
      </w:r>
      <w:r w:rsidR="005E6090">
        <w:t>,</w:t>
      </w:r>
      <w:r w:rsidR="00050E09">
        <w:t xml:space="preserve"> over the dissent of Judge O’Malley, the court held that</w:t>
      </w:r>
      <w:r w:rsidR="005E6090">
        <w:t xml:space="preserve"> </w:t>
      </w:r>
      <w:r w:rsidR="00DB2A42">
        <w:rPr>
          <w:i/>
        </w:rPr>
        <w:t>Fresenius</w:t>
      </w:r>
      <w:r w:rsidR="00DB2A42">
        <w:t xml:space="preserve"> mandated </w:t>
      </w:r>
      <w:proofErr w:type="spellStart"/>
      <w:r w:rsidR="00DB2A42">
        <w:t>vacatur</w:t>
      </w:r>
      <w:proofErr w:type="spellEnd"/>
      <w:r w:rsidR="00DB2A42">
        <w:t xml:space="preserve"> of the sanction</w:t>
      </w:r>
      <w:r w:rsidR="006636D6">
        <w:t>s</w:t>
      </w:r>
      <w:r w:rsidR="00DB2A42">
        <w:t xml:space="preserve"> award.</w:t>
      </w:r>
      <w:r w:rsidR="00DB2A42">
        <w:rPr>
          <w:rStyle w:val="FootnoteReference"/>
        </w:rPr>
        <w:footnoteReference w:id="234"/>
      </w:r>
    </w:p>
    <w:p w14:paraId="3C7152A8" w14:textId="05EF17AC" w:rsidR="00C3377C" w:rsidRDefault="006B644B" w:rsidP="009977E4">
      <w:pPr>
        <w:tabs>
          <w:tab w:val="left" w:pos="360"/>
        </w:tabs>
        <w:jc w:val="both"/>
      </w:pPr>
      <w:r>
        <w:t>The</w:t>
      </w:r>
      <w:r w:rsidR="00044CD8">
        <w:t xml:space="preserve"> Federal Circuit denied </w:t>
      </w:r>
      <w:proofErr w:type="spellStart"/>
      <w:r w:rsidR="00044CD8">
        <w:t>ePlus’s</w:t>
      </w:r>
      <w:proofErr w:type="spellEnd"/>
      <w:r w:rsidR="00044CD8">
        <w:t xml:space="preserve"> </w:t>
      </w:r>
      <w:r>
        <w:t xml:space="preserve">petition for rehearing en banc </w:t>
      </w:r>
      <w:r w:rsidR="00C3377C">
        <w:t xml:space="preserve">by a vote of </w:t>
      </w:r>
      <w:r w:rsidR="00044CD8">
        <w:t>five to five</w:t>
      </w:r>
      <w:r w:rsidR="007C30A0">
        <w:t xml:space="preserve">, one vote shy of the majority needed to </w:t>
      </w:r>
      <w:r w:rsidR="009977E4">
        <w:t xml:space="preserve">grant </w:t>
      </w:r>
      <w:r w:rsidR="00EE7E94">
        <w:t>review</w:t>
      </w:r>
      <w:r w:rsidR="00044CD8">
        <w:t>.</w:t>
      </w:r>
      <w:r w:rsidR="00C3377C">
        <w:rPr>
          <w:rStyle w:val="FootnoteReference"/>
        </w:rPr>
        <w:footnoteReference w:id="235"/>
      </w:r>
      <w:r w:rsidR="009977E4">
        <w:t xml:space="preserve">  </w:t>
      </w:r>
      <w:r w:rsidR="00C3377C">
        <w:t>Three j</w:t>
      </w:r>
      <w:r w:rsidR="00F65080">
        <w:t>udges wrote dissenting opinions including</w:t>
      </w:r>
      <w:r w:rsidR="00C3377C">
        <w:t xml:space="preserve"> </w:t>
      </w:r>
      <w:r w:rsidR="00044CD8">
        <w:t>Judge</w:t>
      </w:r>
      <w:r w:rsidR="00C3377C">
        <w:t xml:space="preserve"> Newman</w:t>
      </w:r>
      <w:r w:rsidR="00F65080">
        <w:t>, who again</w:t>
      </w:r>
      <w:r w:rsidR="00C3377C">
        <w:t xml:space="preserve"> argued that the absolute finality rule </w:t>
      </w:r>
      <w:r w:rsidR="00EE7E94">
        <w:t>conflicts</w:t>
      </w:r>
      <w:r w:rsidR="00C3377C">
        <w:t xml:space="preserve"> with the law in other circuits that a ruling on liability is entitled to preclusive effect on that</w:t>
      </w:r>
      <w:r w:rsidR="00F65080">
        <w:t xml:space="preserve"> issu</w:t>
      </w:r>
      <w:r w:rsidR="00182E67">
        <w:t>e</w:t>
      </w:r>
      <w:r w:rsidR="00F65080">
        <w:t>,</w:t>
      </w:r>
      <w:r w:rsidR="00177B96">
        <w:rPr>
          <w:rStyle w:val="FootnoteReference"/>
        </w:rPr>
        <w:footnoteReference w:id="236"/>
      </w:r>
      <w:r w:rsidR="00F65080">
        <w:t xml:space="preserve"> and</w:t>
      </w:r>
      <w:r w:rsidR="004F5357">
        <w:t xml:space="preserve"> Judge O’Malley </w:t>
      </w:r>
      <w:r w:rsidR="00F65080">
        <w:t xml:space="preserve">who </w:t>
      </w:r>
      <w:r w:rsidR="00182E67">
        <w:t>similarly</w:t>
      </w:r>
      <w:r w:rsidR="00F65080">
        <w:t xml:space="preserve"> cited </w:t>
      </w:r>
      <w:r w:rsidR="00074CB3">
        <w:t>the need</w:t>
      </w:r>
      <w:r w:rsidR="004F5357">
        <w:t xml:space="preserve"> “to </w:t>
      </w:r>
      <w:proofErr w:type="spellStart"/>
      <w:r w:rsidR="004F5357">
        <w:t>reevalute</w:t>
      </w:r>
      <w:proofErr w:type="spellEnd"/>
      <w:r w:rsidR="004F5357">
        <w:t xml:space="preserve"> our finality jurisprudence</w:t>
      </w:r>
      <w:r w:rsidR="009977E4">
        <w:t>.”</w:t>
      </w:r>
      <w:r w:rsidR="00074CB3">
        <w:rPr>
          <w:rStyle w:val="FootnoteReference"/>
        </w:rPr>
        <w:footnoteReference w:id="237"/>
      </w:r>
      <w:r w:rsidR="00044CD8">
        <w:t xml:space="preserve">  </w:t>
      </w:r>
    </w:p>
    <w:p w14:paraId="7170A508" w14:textId="0A39ADA2" w:rsidR="00044CD8" w:rsidRDefault="00044CD8" w:rsidP="006636D6">
      <w:pPr>
        <w:tabs>
          <w:tab w:val="left" w:pos="360"/>
        </w:tabs>
        <w:jc w:val="both"/>
      </w:pPr>
      <w:r>
        <w:t>Judge Moore wrote a</w:t>
      </w:r>
      <w:r w:rsidR="00F65080">
        <w:t xml:space="preserve"> provocative dissent</w:t>
      </w:r>
      <w:r>
        <w:t xml:space="preserve"> </w:t>
      </w:r>
      <w:r w:rsidR="00DE6BB8">
        <w:t>focusing on</w:t>
      </w:r>
      <w:r>
        <w:t xml:space="preserve"> concerns about practicality and fairness.  She </w:t>
      </w:r>
      <w:r w:rsidR="00F65080">
        <w:t>emphasized</w:t>
      </w:r>
      <w:r w:rsidR="00DE6BB8">
        <w:t xml:space="preserve"> that the majority’s holding</w:t>
      </w:r>
      <w:r>
        <w:t xml:space="preserve"> “encourages defendants to scrap and fight to keep underlying litigation pending in the hope that they </w:t>
      </w:r>
      <w:r w:rsidR="008B3B8E">
        <w:t xml:space="preserve">will fare better with the PTO and then be able to unravel the district </w:t>
      </w:r>
      <w:r w:rsidR="008B3B8E">
        <w:lastRenderedPageBreak/>
        <w:t>court judgment against them.”</w:t>
      </w:r>
      <w:r w:rsidR="008B3B8E">
        <w:rPr>
          <w:rStyle w:val="FootnoteReference"/>
        </w:rPr>
        <w:footnoteReference w:id="238"/>
      </w:r>
      <w:r w:rsidR="008B3B8E">
        <w:t xml:space="preserve">  She </w:t>
      </w:r>
      <w:r w:rsidR="00DE6BB8">
        <w:t>also highlighted broader concerns about parallel review of patent validity noting</w:t>
      </w:r>
      <w:r w:rsidR="008B3B8E">
        <w:t>:</w:t>
      </w:r>
    </w:p>
    <w:p w14:paraId="01AA3617" w14:textId="6DAF9299" w:rsidR="008B3B8E" w:rsidRDefault="008B3B8E" w:rsidP="00676092">
      <w:pPr>
        <w:tabs>
          <w:tab w:val="left" w:pos="360"/>
        </w:tabs>
        <w:ind w:left="360" w:right="360" w:firstLine="0"/>
        <w:jc w:val="both"/>
      </w:pPr>
      <w:r>
        <w:t xml:space="preserve">[T]here are problems with a system which permits defendants to snatch victory from the already closed jaws of defeat.  Whether these problems are to be resolved by the Supreme Court through its precedent on finality or through Congress, this sort of gamesmanship ought to be curtailed.  I have no problem with the dual track system Congress has created, but for at least a subset of cases, defendants are abusing the process by doing both.  This is wasteful of judicial, executive, and party resources, and it is just plain unfair.  Congress intended </w:t>
      </w:r>
      <w:r w:rsidR="006B644B">
        <w:t>[post-issuance review]</w:t>
      </w:r>
      <w:r>
        <w:t xml:space="preserve"> to be an alternative to district court litigation of certain validity issues, not duplicative of them.</w:t>
      </w:r>
      <w:r>
        <w:rPr>
          <w:rStyle w:val="FootnoteReference"/>
        </w:rPr>
        <w:footnoteReference w:id="239"/>
      </w:r>
    </w:p>
    <w:p w14:paraId="383832B6" w14:textId="1F7EF4AB" w:rsidR="005838E1" w:rsidRPr="00044CD8" w:rsidRDefault="00A669E0" w:rsidP="00EE7E94">
      <w:pPr>
        <w:tabs>
          <w:tab w:val="left" w:pos="0"/>
          <w:tab w:val="left" w:pos="7920"/>
        </w:tabs>
        <w:jc w:val="both"/>
      </w:pPr>
      <w:r>
        <w:t>With</w:t>
      </w:r>
      <w:r w:rsidR="00A75ADD">
        <w:t xml:space="preserve"> the Federal Circuit’s denial of rehearing in </w:t>
      </w:r>
      <w:proofErr w:type="spellStart"/>
      <w:r w:rsidR="00A75ADD">
        <w:rPr>
          <w:i/>
        </w:rPr>
        <w:t>ePlus</w:t>
      </w:r>
      <w:proofErr w:type="spellEnd"/>
      <w:r w:rsidR="00A75ADD">
        <w:t xml:space="preserve">, the absolute finality rule is now indisputably the law of the land.  Yet the sharp disagreements among the court’s judges suggest that the issue is far from settled.  Consequently, this article’s next task is to provide a close analysis of the </w:t>
      </w:r>
      <w:r>
        <w:t>rationale</w:t>
      </w:r>
      <w:r w:rsidR="00A75ADD">
        <w:t xml:space="preserve"> for and consequences of the absolute finality rule. </w:t>
      </w:r>
    </w:p>
    <w:p w14:paraId="3A15B7B9" w14:textId="6B113C2F" w:rsidR="00BB40F3" w:rsidRPr="006B0056" w:rsidRDefault="00D03176" w:rsidP="002054FE">
      <w:pPr>
        <w:keepNext/>
        <w:tabs>
          <w:tab w:val="left" w:pos="720"/>
        </w:tabs>
        <w:ind w:left="360" w:hanging="360"/>
        <w:jc w:val="center"/>
      </w:pPr>
      <w:r>
        <w:t>C.</w:t>
      </w:r>
      <w:r>
        <w:tab/>
      </w:r>
      <w:r w:rsidR="006B0056">
        <w:t>How Final Is Final?</w:t>
      </w:r>
    </w:p>
    <w:p w14:paraId="29456E36" w14:textId="1AFA9D5E" w:rsidR="009977E4" w:rsidRDefault="00A75ADD" w:rsidP="00FE1833">
      <w:pPr>
        <w:tabs>
          <w:tab w:val="left" w:pos="360"/>
        </w:tabs>
        <w:jc w:val="both"/>
      </w:pPr>
      <w:r>
        <w:t xml:space="preserve">The first question </w:t>
      </w:r>
      <w:r w:rsidR="00A669E0">
        <w:t>in that</w:t>
      </w:r>
      <w:r>
        <w:t xml:space="preserve"> analysis involves the meaning of the absolute finality rule itself.  In </w:t>
      </w:r>
      <w:r w:rsidR="00BB40F3">
        <w:rPr>
          <w:i/>
        </w:rPr>
        <w:t>Fresenius</w:t>
      </w:r>
      <w:r w:rsidR="00BB40F3">
        <w:t xml:space="preserve">, </w:t>
      </w:r>
      <w:proofErr w:type="spellStart"/>
      <w:r w:rsidR="00BB40F3">
        <w:rPr>
          <w:i/>
        </w:rPr>
        <w:t>Versata</w:t>
      </w:r>
      <w:proofErr w:type="spellEnd"/>
      <w:r w:rsidR="00BB40F3">
        <w:t>, and</w:t>
      </w:r>
      <w:r w:rsidR="00BB40F3">
        <w:rPr>
          <w:i/>
        </w:rPr>
        <w:t xml:space="preserve"> </w:t>
      </w:r>
      <w:proofErr w:type="spellStart"/>
      <w:r w:rsidR="00EF2293">
        <w:rPr>
          <w:i/>
        </w:rPr>
        <w:t>ePlus</w:t>
      </w:r>
      <w:proofErr w:type="spellEnd"/>
      <w:r w:rsidR="00BB40F3">
        <w:t xml:space="preserve"> </w:t>
      </w:r>
      <w:r>
        <w:t>the Federal Circuit mad</w:t>
      </w:r>
      <w:r w:rsidR="00BB40F3">
        <w:t>e</w:t>
      </w:r>
      <w:r w:rsidR="00EF2293">
        <w:t xml:space="preserve"> clear </w:t>
      </w:r>
      <w:r w:rsidR="00FE1833">
        <w:t>that court proceedings must be “final” to be immune from the effects of post-issuance review at the PTO.  But</w:t>
      </w:r>
      <w:r w:rsidR="00BB40F3">
        <w:t xml:space="preserve"> </w:t>
      </w:r>
      <w:r>
        <w:t xml:space="preserve">the court has not been clear about </w:t>
      </w:r>
      <w:r w:rsidR="00BB40F3">
        <w:t xml:space="preserve">exactly how final the court case </w:t>
      </w:r>
      <w:r>
        <w:t xml:space="preserve">must </w:t>
      </w:r>
      <w:r w:rsidR="00BB40F3">
        <w:t>be</w:t>
      </w:r>
      <w:r>
        <w:t>.</w:t>
      </w:r>
      <w:r w:rsidR="00FE1833">
        <w:t xml:space="preserve">  The panel majority in </w:t>
      </w:r>
      <w:r w:rsidR="00FE1833">
        <w:rPr>
          <w:i/>
        </w:rPr>
        <w:t>Fresenius</w:t>
      </w:r>
      <w:r w:rsidR="00FE1833">
        <w:t xml:space="preserve"> wrote that, to be immune from </w:t>
      </w:r>
      <w:proofErr w:type="spellStart"/>
      <w:r w:rsidR="00FE1833">
        <w:t>vacatur</w:t>
      </w:r>
      <w:proofErr w:type="spellEnd"/>
      <w:r w:rsidR="00FE1833">
        <w:t xml:space="preserve">, </w:t>
      </w:r>
      <w:r w:rsidR="00182E67">
        <w:t xml:space="preserve">a </w:t>
      </w:r>
      <w:r w:rsidR="00FE1833">
        <w:t xml:space="preserve">court </w:t>
      </w:r>
      <w:r w:rsidR="00182E67">
        <w:t>judgment</w:t>
      </w:r>
      <w:r w:rsidR="00FE1833">
        <w:t xml:space="preserve"> must “irrevocably allow execution and payment.”</w:t>
      </w:r>
      <w:r w:rsidR="00FE1833">
        <w:rPr>
          <w:rStyle w:val="FootnoteReference"/>
        </w:rPr>
        <w:footnoteReference w:id="240"/>
      </w:r>
      <w:r w:rsidR="00FE1833">
        <w:t xml:space="preserve">  But it is not clear when t</w:t>
      </w:r>
      <w:r w:rsidR="00285563">
        <w:t xml:space="preserve">hat occurs.  The emphasis on </w:t>
      </w:r>
      <w:proofErr w:type="spellStart"/>
      <w:r w:rsidR="00285563">
        <w:t>exe</w:t>
      </w:r>
      <w:r w:rsidR="00FE1833">
        <w:t>cutability</w:t>
      </w:r>
      <w:proofErr w:type="spellEnd"/>
      <w:r w:rsidR="00FE1833">
        <w:t xml:space="preserve"> cannot be taken literally because a district court judgment that is pending on appeal, such as the</w:t>
      </w:r>
      <w:r w:rsidR="00285563">
        <w:t xml:space="preserve"> </w:t>
      </w:r>
      <w:r w:rsidR="00676092">
        <w:t>initial</w:t>
      </w:r>
      <w:r w:rsidR="00285563">
        <w:t xml:space="preserve"> </w:t>
      </w:r>
      <w:r w:rsidR="00FE1833">
        <w:t>award</w:t>
      </w:r>
      <w:r w:rsidR="00676092">
        <w:t xml:space="preserve"> of past damages</w:t>
      </w:r>
      <w:r w:rsidR="00FE1833">
        <w:t xml:space="preserve"> to Baxter</w:t>
      </w:r>
      <w:r w:rsidR="00182E67">
        <w:t xml:space="preserve"> in the </w:t>
      </w:r>
      <w:r w:rsidR="00182E67">
        <w:rPr>
          <w:i/>
        </w:rPr>
        <w:t>Fresenius</w:t>
      </w:r>
      <w:r w:rsidR="00182E67">
        <w:t xml:space="preserve"> case</w:t>
      </w:r>
      <w:r w:rsidR="00FE1833">
        <w:t xml:space="preserve">, </w:t>
      </w:r>
      <w:r w:rsidR="00FE1833" w:rsidRPr="00003EF9">
        <w:rPr>
          <w:i/>
        </w:rPr>
        <w:t>is</w:t>
      </w:r>
      <w:r w:rsidR="00FE1833">
        <w:rPr>
          <w:i/>
        </w:rPr>
        <w:t xml:space="preserve"> </w:t>
      </w:r>
      <w:r w:rsidR="00BB40F3">
        <w:t>enforceable</w:t>
      </w:r>
      <w:r w:rsidR="00FE1833">
        <w:t xml:space="preserve"> unless the appellant post</w:t>
      </w:r>
      <w:r w:rsidR="00676092">
        <w:t xml:space="preserve">s a </w:t>
      </w:r>
      <w:proofErr w:type="spellStart"/>
      <w:r w:rsidR="00676092">
        <w:t>supersedeas</w:t>
      </w:r>
      <w:proofErr w:type="spellEnd"/>
      <w:r w:rsidR="00676092">
        <w:t xml:space="preserve"> bond</w:t>
      </w:r>
      <w:r w:rsidR="00FE1833">
        <w:t>.</w:t>
      </w:r>
      <w:bookmarkStart w:id="37" w:name="_Ref300404332"/>
      <w:r w:rsidR="00FE1833">
        <w:rPr>
          <w:rStyle w:val="FootnoteReference"/>
        </w:rPr>
        <w:footnoteReference w:id="241"/>
      </w:r>
      <w:bookmarkEnd w:id="37"/>
      <w:r w:rsidR="00FE1833">
        <w:t xml:space="preserve">  In </w:t>
      </w:r>
      <w:proofErr w:type="spellStart"/>
      <w:r w:rsidR="00FE1833">
        <w:rPr>
          <w:i/>
        </w:rPr>
        <w:t>ePlus</w:t>
      </w:r>
      <w:proofErr w:type="spellEnd"/>
      <w:r w:rsidR="00FE1833">
        <w:t>, by contrast, the court suggested that the touchstone for finality is that the “scope of relief” must be resolved,</w:t>
      </w:r>
      <w:r w:rsidR="00FE1833">
        <w:rPr>
          <w:rStyle w:val="FootnoteReference"/>
        </w:rPr>
        <w:footnoteReference w:id="242"/>
      </w:r>
      <w:r w:rsidR="00FE1833">
        <w:t xml:space="preserve"> which would ex</w:t>
      </w:r>
      <w:r w:rsidR="00285563">
        <w:t xml:space="preserve">plain why a </w:t>
      </w:r>
      <w:r w:rsidR="00EE7E94">
        <w:t xml:space="preserve">damages </w:t>
      </w:r>
      <w:r w:rsidR="00285563">
        <w:t xml:space="preserve">judgment that is </w:t>
      </w:r>
      <w:r w:rsidR="00182E67">
        <w:t xml:space="preserve">technically </w:t>
      </w:r>
      <w:r w:rsidR="00285563">
        <w:t>exe</w:t>
      </w:r>
      <w:r w:rsidR="00FE1833">
        <w:t xml:space="preserve">cutable </w:t>
      </w:r>
      <w:r w:rsidR="00676092">
        <w:t>is</w:t>
      </w:r>
      <w:r w:rsidR="00FE1833">
        <w:t xml:space="preserve"> not sufficiently final to avoid </w:t>
      </w:r>
      <w:proofErr w:type="spellStart"/>
      <w:r w:rsidR="00FE1833">
        <w:t>vacatur</w:t>
      </w:r>
      <w:proofErr w:type="spellEnd"/>
      <w:r w:rsidR="00285563">
        <w:t xml:space="preserve"> due to a PTO decision</w:t>
      </w:r>
      <w:r w:rsidR="00773EF7">
        <w:t xml:space="preserve"> of invalidity</w:t>
      </w:r>
      <w:r w:rsidR="00FE1833">
        <w:t>.</w:t>
      </w:r>
      <w:r w:rsidR="009977E4">
        <w:t xml:space="preserve">  Thus, for a j</w:t>
      </w:r>
      <w:r w:rsidR="0058236C">
        <w:t>udgment awarding damages to be final</w:t>
      </w:r>
      <w:r w:rsidR="009977E4">
        <w:t xml:space="preserve"> a</w:t>
      </w:r>
      <w:r w:rsidR="00773EF7">
        <w:t xml:space="preserve">nd </w:t>
      </w:r>
      <w:r w:rsidR="00773EF7">
        <w:lastRenderedPageBreak/>
        <w:t xml:space="preserve">immune from the effects of </w:t>
      </w:r>
      <w:r w:rsidR="009977E4">
        <w:t xml:space="preserve">PTO </w:t>
      </w:r>
      <w:r w:rsidR="00773EF7">
        <w:t>review</w:t>
      </w:r>
      <w:r w:rsidR="009977E4">
        <w:t xml:space="preserve">, it seems that </w:t>
      </w:r>
      <w:r w:rsidR="009977E4" w:rsidRPr="00832E69">
        <w:t>all</w:t>
      </w:r>
      <w:r w:rsidR="009977E4">
        <w:t xml:space="preserve"> remedial proceedings—including appeals from those proceedings—must be concluded.</w:t>
      </w:r>
    </w:p>
    <w:p w14:paraId="36FE2917" w14:textId="7CB7C96F" w:rsidR="008401AF" w:rsidRDefault="009977E4" w:rsidP="00BB6C22">
      <w:pPr>
        <w:tabs>
          <w:tab w:val="left" w:pos="360"/>
        </w:tabs>
        <w:jc w:val="both"/>
      </w:pPr>
      <w:r>
        <w:t xml:space="preserve">Although that seems to be a bright-line test, there are at least </w:t>
      </w:r>
      <w:r w:rsidR="00867E53">
        <w:t>three</w:t>
      </w:r>
      <w:r>
        <w:t xml:space="preserve"> points of ambiguity.  </w:t>
      </w:r>
      <w:r w:rsidRPr="00961657">
        <w:t>First,</w:t>
      </w:r>
      <w:r>
        <w:t xml:space="preserve"> it is not clear if ancillary proceedings, such as proceedings to recover attorneys’ fees, must also be concluded for the </w:t>
      </w:r>
      <w:r w:rsidR="004A066B">
        <w:t>court’s decision to be immune from the effects of PTO review</w:t>
      </w:r>
      <w:r>
        <w:t xml:space="preserve">.  The </w:t>
      </w:r>
      <w:r w:rsidR="004A066B">
        <w:t xml:space="preserve">Federal Circuit’s </w:t>
      </w:r>
      <w:r>
        <w:t xml:space="preserve">reference to the “scope of relief” simply is not clear on this point, but it will likely prove important in future cases because of </w:t>
      </w:r>
      <w:r w:rsidR="004A066B">
        <w:t xml:space="preserve">a </w:t>
      </w:r>
      <w:r>
        <w:t>recent Supreme Court decision that make</w:t>
      </w:r>
      <w:r w:rsidR="004A066B">
        <w:t>s</w:t>
      </w:r>
      <w:r>
        <w:t xml:space="preserve"> it easier to recover attorneys’ fees in patent cases and</w:t>
      </w:r>
      <w:r w:rsidR="00F65080">
        <w:t xml:space="preserve"> that</w:t>
      </w:r>
      <w:r>
        <w:t xml:space="preserve"> </w:t>
      </w:r>
      <w:r w:rsidR="004A066B">
        <w:t>will probably</w:t>
      </w:r>
      <w:r w:rsidR="00A775C4">
        <w:t xml:space="preserve"> </w:t>
      </w:r>
      <w:r>
        <w:t>incentiv</w:t>
      </w:r>
      <w:r w:rsidR="00477174">
        <w:t>iz</w:t>
      </w:r>
      <w:r>
        <w:t>e mor</w:t>
      </w:r>
      <w:r w:rsidR="00832E69">
        <w:t>e fee applications</w:t>
      </w:r>
      <w:r>
        <w:t>.</w:t>
      </w:r>
      <w:r>
        <w:rPr>
          <w:rStyle w:val="FootnoteReference"/>
        </w:rPr>
        <w:footnoteReference w:id="243"/>
      </w:r>
      <w:r w:rsidR="00BB6C22">
        <w:t xml:space="preserve">  </w:t>
      </w:r>
      <w:r w:rsidR="008401AF">
        <w:t xml:space="preserve">Under the relatively high bar the Federal Circuit has set for establishing finality, it seems plausible that the court would find a case in which fee proceedings are ongoing to not be sufficiently final to avoid the effect of </w:t>
      </w:r>
      <w:r w:rsidR="0061509F">
        <w:t>a PTO decision invalidating</w:t>
      </w:r>
      <w:r w:rsidR="008401AF">
        <w:t xml:space="preserve"> the patent or patents in suit.</w:t>
      </w:r>
      <w:r w:rsidR="00A775C4">
        <w:t xml:space="preserve">  </w:t>
      </w:r>
    </w:p>
    <w:p w14:paraId="4AE5DB42" w14:textId="7A5D207C" w:rsidR="00FE1833" w:rsidRDefault="00BB6C22" w:rsidP="00BB6C22">
      <w:pPr>
        <w:tabs>
          <w:tab w:val="left" w:pos="360"/>
        </w:tabs>
        <w:jc w:val="both"/>
      </w:pPr>
      <w:r>
        <w:t>Second, i</w:t>
      </w:r>
      <w:r w:rsidR="00FE1833">
        <w:t xml:space="preserve">f the test for finality is that the “scope of relief” must be resolved, it is not clear </w:t>
      </w:r>
      <w:r>
        <w:t xml:space="preserve">whether a judgment </w:t>
      </w:r>
      <w:r w:rsidR="00FE1833">
        <w:t xml:space="preserve">that </w:t>
      </w:r>
      <w:r>
        <w:t xml:space="preserve">includes </w:t>
      </w:r>
      <w:r w:rsidR="00FE1833">
        <w:t xml:space="preserve">an injunction against future infringement, such as the </w:t>
      </w:r>
      <w:r>
        <w:t>judgment</w:t>
      </w:r>
      <w:r w:rsidR="00FE1833">
        <w:t xml:space="preserve"> in </w:t>
      </w:r>
      <w:proofErr w:type="spellStart"/>
      <w:r w:rsidR="00FE1833">
        <w:rPr>
          <w:i/>
        </w:rPr>
        <w:t>ePlus</w:t>
      </w:r>
      <w:proofErr w:type="spellEnd"/>
      <w:r w:rsidR="00FE1833">
        <w:t xml:space="preserve">, can </w:t>
      </w:r>
      <w:r w:rsidR="00FE1833" w:rsidRPr="005B4A18">
        <w:rPr>
          <w:i/>
        </w:rPr>
        <w:t>ever</w:t>
      </w:r>
      <w:r w:rsidR="00FE1833">
        <w:t xml:space="preserve"> be sufficiently final to prevent a contempt sanction based on </w:t>
      </w:r>
      <w:r w:rsidR="00F65080">
        <w:t xml:space="preserve">a violation of </w:t>
      </w:r>
      <w:r w:rsidR="00FE1833">
        <w:t xml:space="preserve">that injunction from being vacated due to the PTO’s subsequent </w:t>
      </w:r>
      <w:r>
        <w:t>invalidation</w:t>
      </w:r>
      <w:r w:rsidR="00FE1833">
        <w:t xml:space="preserve"> of the patent.  As Judge O’Malley pointed out</w:t>
      </w:r>
      <w:r w:rsidR="00285563">
        <w:t xml:space="preserve"> in dissent</w:t>
      </w:r>
      <w:r w:rsidR="00F65080">
        <w:t xml:space="preserve"> in </w:t>
      </w:r>
      <w:proofErr w:type="spellStart"/>
      <w:r w:rsidR="00F65080">
        <w:rPr>
          <w:i/>
        </w:rPr>
        <w:t>ePlus</w:t>
      </w:r>
      <w:proofErr w:type="spellEnd"/>
      <w:r>
        <w:t>, d</w:t>
      </w:r>
      <w:r w:rsidR="00FE1833">
        <w:t xml:space="preserve">istrict courts always </w:t>
      </w:r>
      <w:r>
        <w:t>have</w:t>
      </w:r>
      <w:r w:rsidR="00FE1833">
        <w:t xml:space="preserve"> the power to revise injunctions in light of changed circumstance</w:t>
      </w:r>
      <w:r>
        <w:t>s</w:t>
      </w:r>
      <w:r w:rsidR="00EE7E94">
        <w:t>,</w:t>
      </w:r>
      <w:r w:rsidR="00773EF7">
        <w:rPr>
          <w:rStyle w:val="FootnoteReference"/>
        </w:rPr>
        <w:footnoteReference w:id="244"/>
      </w:r>
      <w:r w:rsidR="00EE7E94">
        <w:t xml:space="preserve"> which suggests that the scope of relief is never </w:t>
      </w:r>
      <w:r w:rsidR="00EE7E94" w:rsidRPr="00773EF7">
        <w:t>definitively</w:t>
      </w:r>
      <w:r w:rsidR="00EE7E94">
        <w:t xml:space="preserve"> resolved, as the Federal Circuit </w:t>
      </w:r>
      <w:r w:rsidR="0058236C">
        <w:t>require</w:t>
      </w:r>
      <w:r w:rsidR="004A066B">
        <w:t>s</w:t>
      </w:r>
      <w:r w:rsidR="00EE7E94">
        <w:t xml:space="preserve"> for a court decision to be immune from the effects of post-issuance review at the PTO</w:t>
      </w:r>
      <w:r>
        <w:t>.</w:t>
      </w:r>
      <w:r w:rsidR="00FE1833">
        <w:t xml:space="preserve"> </w:t>
      </w:r>
    </w:p>
    <w:p w14:paraId="77FBE185" w14:textId="5815994F" w:rsidR="00210422" w:rsidRDefault="00210422" w:rsidP="00BB6C22">
      <w:pPr>
        <w:tabs>
          <w:tab w:val="left" w:pos="360"/>
        </w:tabs>
        <w:jc w:val="both"/>
      </w:pPr>
      <w:r>
        <w:t xml:space="preserve">Before discussing the third ambiguity about how final the court’s decision must be to survive a PTO </w:t>
      </w:r>
      <w:r w:rsidR="004A066B">
        <w:t>ruling</w:t>
      </w:r>
      <w:r>
        <w:t xml:space="preserve"> of invalidity, it is worth noting that the Federal Circuit also has not been clear about how final </w:t>
      </w:r>
      <w:r w:rsidRPr="00210422">
        <w:rPr>
          <w:i/>
        </w:rPr>
        <w:t>the PTO’s</w:t>
      </w:r>
      <w:r>
        <w:t xml:space="preserve"> decision must be to justify </w:t>
      </w:r>
      <w:proofErr w:type="spellStart"/>
      <w:r>
        <w:t>vacatur</w:t>
      </w:r>
      <w:proofErr w:type="spellEnd"/>
      <w:r>
        <w:t xml:space="preserve"> of a court decision in favor of a patent holder.  </w:t>
      </w:r>
      <w:r>
        <w:rPr>
          <w:i/>
        </w:rPr>
        <w:t>Fresenius</w:t>
      </w:r>
      <w:r>
        <w:t xml:space="preserve">, </w:t>
      </w:r>
      <w:proofErr w:type="spellStart"/>
      <w:r>
        <w:rPr>
          <w:i/>
        </w:rPr>
        <w:t>Versata</w:t>
      </w:r>
      <w:proofErr w:type="spellEnd"/>
      <w:r>
        <w:t xml:space="preserve">, and </w:t>
      </w:r>
      <w:proofErr w:type="spellStart"/>
      <w:r>
        <w:rPr>
          <w:i/>
        </w:rPr>
        <w:t>ePlus</w:t>
      </w:r>
      <w:proofErr w:type="spellEnd"/>
      <w:r>
        <w:t xml:space="preserve"> contain some significant clues, however.  As noted, one way to reconcile </w:t>
      </w:r>
      <w:r>
        <w:rPr>
          <w:i/>
        </w:rPr>
        <w:t>Fresenius</w:t>
      </w:r>
      <w:r>
        <w:t xml:space="preserve"> and </w:t>
      </w:r>
      <w:proofErr w:type="spellStart"/>
      <w:r>
        <w:rPr>
          <w:i/>
        </w:rPr>
        <w:t>Versata</w:t>
      </w:r>
      <w:proofErr w:type="spellEnd"/>
      <w:r>
        <w:rPr>
          <w:i/>
        </w:rPr>
        <w:t xml:space="preserve"> </w:t>
      </w:r>
      <w:r>
        <w:t xml:space="preserve">is that, in </w:t>
      </w:r>
      <w:proofErr w:type="spellStart"/>
      <w:r>
        <w:rPr>
          <w:i/>
        </w:rPr>
        <w:t>Versata</w:t>
      </w:r>
      <w:proofErr w:type="spellEnd"/>
      <w:r>
        <w:t xml:space="preserve">, the Federal Circuit had not yet reviewed the PTO’s invalidity decision so the district court’s judgment stood, whereas in </w:t>
      </w:r>
      <w:r>
        <w:rPr>
          <w:i/>
        </w:rPr>
        <w:t>Fresenius</w:t>
      </w:r>
      <w:r>
        <w:t xml:space="preserve">, the Federal Circuit had already affirmed the PTO’s invalidity decision, which allowed the PTO decision to take precedence over the court’s rulings in favor of Baxter, the patent holder.  Likewise, in </w:t>
      </w:r>
      <w:proofErr w:type="spellStart"/>
      <w:r w:rsidRPr="006370FC">
        <w:rPr>
          <w:i/>
        </w:rPr>
        <w:t>ePlus</w:t>
      </w:r>
      <w:proofErr w:type="spellEnd"/>
      <w:r>
        <w:t xml:space="preserve">, </w:t>
      </w:r>
      <w:r w:rsidRPr="006370FC">
        <w:t>the</w:t>
      </w:r>
      <w:r>
        <w:t xml:space="preserve"> Federal Circuit had already reviewed the PTO’s invalidity decision when it relied on that decision to vacate the district court’s contempt order.  Thus, the finality required of the PTO’s decision seems to be that any appeal from those proceedings must be concluded.  As discussed below, the PTO issues its </w:t>
      </w:r>
      <w:r>
        <w:lastRenderedPageBreak/>
        <w:t>certificate canceling the patent when the appeal concludes or the time to appeal expires, so that definition of finality seems consistent with the Patent Act.</w:t>
      </w:r>
      <w:r>
        <w:rPr>
          <w:rStyle w:val="FootnoteReference"/>
        </w:rPr>
        <w:footnoteReference w:id="245"/>
      </w:r>
    </w:p>
    <w:p w14:paraId="1CCA77DE" w14:textId="1205890D" w:rsidR="007B6C38" w:rsidRDefault="00210422" w:rsidP="007B6C38">
      <w:pPr>
        <w:tabs>
          <w:tab w:val="left" w:pos="360"/>
        </w:tabs>
        <w:jc w:val="both"/>
      </w:pPr>
      <w:r>
        <w:t xml:space="preserve">This leads back to the third point of ambiguity about how final a court’s decision must be to avoid </w:t>
      </w:r>
      <w:proofErr w:type="spellStart"/>
      <w:r>
        <w:t>vacatur</w:t>
      </w:r>
      <w:proofErr w:type="spellEnd"/>
      <w:r>
        <w:t xml:space="preserve"> based on a PTO ruling of invalidity:  </w:t>
      </w:r>
      <w:r w:rsidR="004A066B">
        <w:t xml:space="preserve">It is not clear whether </w:t>
      </w:r>
      <w:r w:rsidR="007B6C38">
        <w:t>partial final judgment</w:t>
      </w:r>
      <w:r>
        <w:t>s</w:t>
      </w:r>
      <w:r w:rsidR="007B6C38">
        <w:t xml:space="preserve"> entered under Federal Rule of Civil Procedure 54(b) </w:t>
      </w:r>
      <w:r w:rsidR="004A066B">
        <w:t xml:space="preserve">are </w:t>
      </w:r>
      <w:r w:rsidR="007B6C38">
        <w:t xml:space="preserve">sufficiently final to avoid </w:t>
      </w:r>
      <w:proofErr w:type="spellStart"/>
      <w:r w:rsidR="007B6C38">
        <w:t>vacatur</w:t>
      </w:r>
      <w:proofErr w:type="spellEnd"/>
      <w:r w:rsidR="004A066B">
        <w:t>.</w:t>
      </w:r>
      <w:r>
        <w:t xml:space="preserve">  </w:t>
      </w:r>
      <w:r w:rsidR="0012014D">
        <w:t>Resolving</w:t>
      </w:r>
      <w:r w:rsidR="008700FB">
        <w:t xml:space="preserve"> </w:t>
      </w:r>
      <w:r w:rsidR="00F92079">
        <w:t>that</w:t>
      </w:r>
      <w:r w:rsidR="008700FB">
        <w:t xml:space="preserve"> </w:t>
      </w:r>
      <w:r w:rsidR="0012014D">
        <w:t>ambiguity</w:t>
      </w:r>
      <w:r w:rsidR="008700FB">
        <w:t xml:space="preserve"> </w:t>
      </w:r>
      <w:r w:rsidR="004A066B">
        <w:t xml:space="preserve">will be </w:t>
      </w:r>
      <w:r w:rsidR="008700FB">
        <w:t xml:space="preserve">critical to a pending </w:t>
      </w:r>
      <w:r w:rsidR="007B6C38">
        <w:t>dispute between smartphone manufacturers Apple and Samsung.  In that case, Apple sued Samsung for infringing several patents and for diluting Apple’s trade dress.</w:t>
      </w:r>
      <w:r w:rsidR="007B6C38">
        <w:rPr>
          <w:rStyle w:val="FootnoteReference"/>
        </w:rPr>
        <w:footnoteReference w:id="246"/>
      </w:r>
      <w:r w:rsidR="007B6C38">
        <w:t xml:space="preserve">  The district court found in Apple’s favor on both the patent and trade dress claims.</w:t>
      </w:r>
      <w:r w:rsidR="007B6C38">
        <w:rPr>
          <w:rStyle w:val="FootnoteReference"/>
        </w:rPr>
        <w:footnoteReference w:id="247"/>
      </w:r>
      <w:r w:rsidR="007B6C38">
        <w:t xml:space="preserve">  The court awarded Apple $930 million in damages, roughly $548 million of which was attributable to Samsung’s patent infringement.</w:t>
      </w:r>
      <w:r w:rsidR="007B6C38">
        <w:rPr>
          <w:rStyle w:val="FootnoteReference"/>
        </w:rPr>
        <w:footnoteReference w:id="248"/>
      </w:r>
      <w:r w:rsidR="007B6C38">
        <w:t xml:space="preserve">  In May 2015, the Federal Circuit affirmed the district court’s ruling on Apple’s patent claims but reversed on the trade dress claims and remanded for further proceedings.</w:t>
      </w:r>
      <w:r w:rsidR="007B6C38">
        <w:rPr>
          <w:rStyle w:val="FootnoteReference"/>
        </w:rPr>
        <w:footnoteReference w:id="249"/>
      </w:r>
      <w:r w:rsidR="007B6C38">
        <w:t xml:space="preserve">  </w:t>
      </w:r>
    </w:p>
    <w:p w14:paraId="38339362" w14:textId="796777B5" w:rsidR="008700FB" w:rsidRDefault="007B6C38" w:rsidP="00BB6C22">
      <w:pPr>
        <w:tabs>
          <w:tab w:val="left" w:pos="360"/>
        </w:tabs>
        <w:jc w:val="both"/>
      </w:pPr>
      <w:r>
        <w:t>While the appeal in the infringement litigation was pending, however, the PTO issued a decision in a reexamination proceeding invalidating one of the patents the district court had found to be infringed.</w:t>
      </w:r>
      <w:bookmarkStart w:id="38" w:name="_Ref304642648"/>
      <w:r>
        <w:rPr>
          <w:rStyle w:val="FootnoteReference"/>
        </w:rPr>
        <w:footnoteReference w:id="250"/>
      </w:r>
      <w:bookmarkEnd w:id="38"/>
      <w:r w:rsidR="00210422">
        <w:t xml:space="preserve">  On remand from the Federal Circuit, Apple, no doubt aware that, under the absolute finality rule, the PTO’s invalidity ruling</w:t>
      </w:r>
      <w:r w:rsidR="0012014D">
        <w:t xml:space="preserve"> (which at the time was almost ripe for appeal to the Federal Circuit)</w:t>
      </w:r>
      <w:r w:rsidR="00210422">
        <w:t xml:space="preserve"> could endanger its award of </w:t>
      </w:r>
      <w:r w:rsidR="008700FB">
        <w:t xml:space="preserve">patent </w:t>
      </w:r>
      <w:r w:rsidR="00210422">
        <w:t xml:space="preserve">infringement damages in the still-pending litigation, </w:t>
      </w:r>
      <w:r>
        <w:t xml:space="preserve">asked the district court to enter a partial final judgment for </w:t>
      </w:r>
      <w:r w:rsidR="008700FB">
        <w:t xml:space="preserve">the </w:t>
      </w:r>
      <w:r>
        <w:t>$548 million</w:t>
      </w:r>
      <w:r w:rsidR="00210422">
        <w:t xml:space="preserve"> in </w:t>
      </w:r>
      <w:r w:rsidR="008700FB">
        <w:t xml:space="preserve">damages attributable to </w:t>
      </w:r>
      <w:r w:rsidR="00210422">
        <w:t>patent infringement</w:t>
      </w:r>
      <w:r>
        <w:t>, and the court did so.</w:t>
      </w:r>
      <w:r>
        <w:rPr>
          <w:rStyle w:val="FootnoteReference"/>
        </w:rPr>
        <w:footnoteReference w:id="251"/>
      </w:r>
      <w:r w:rsidR="00212E9F">
        <w:t xml:space="preserve">  Samsung appealed the district court’s decision to enter a </w:t>
      </w:r>
      <w:r w:rsidR="00F92079">
        <w:t xml:space="preserve">partial </w:t>
      </w:r>
      <w:r w:rsidR="00212E9F">
        <w:t>final judgment, but the Federal Circuit affirmed.</w:t>
      </w:r>
      <w:r w:rsidR="00212E9F">
        <w:rPr>
          <w:rStyle w:val="FootnoteReference"/>
        </w:rPr>
        <w:footnoteReference w:id="252"/>
      </w:r>
      <w:r w:rsidR="00212E9F">
        <w:t xml:space="preserve"> </w:t>
      </w:r>
      <w:r>
        <w:t xml:space="preserve"> </w:t>
      </w:r>
      <w:r w:rsidR="008700FB">
        <w:t>The Federal Circuit’s</w:t>
      </w:r>
      <w:r w:rsidR="00212E9F">
        <w:t xml:space="preserve"> affirmance </w:t>
      </w:r>
      <w:r w:rsidR="00212E9F">
        <w:lastRenderedPageBreak/>
        <w:t>supports the argument</w:t>
      </w:r>
      <w:r w:rsidR="008700FB">
        <w:t xml:space="preserve"> (discussed immediately above)</w:t>
      </w:r>
      <w:r w:rsidR="00212E9F">
        <w:t xml:space="preserve"> that a PTO decision is not sufficiently final to justify vacating a court decision until the PTO decision has been reviewed on appeal by the Federal Circuit.  </w:t>
      </w:r>
    </w:p>
    <w:p w14:paraId="5784F668" w14:textId="3DD76270" w:rsidR="00AA2B5A" w:rsidRDefault="00212E9F" w:rsidP="00BB6C22">
      <w:pPr>
        <w:tabs>
          <w:tab w:val="left" w:pos="360"/>
        </w:tabs>
        <w:jc w:val="both"/>
      </w:pPr>
      <w:r>
        <w:t>But</w:t>
      </w:r>
      <w:r w:rsidR="008700FB">
        <w:t xml:space="preserve">, given that Apple’s trade dress claims remain pending </w:t>
      </w:r>
      <w:r w:rsidR="0012014D">
        <w:t xml:space="preserve">in the district court </w:t>
      </w:r>
      <w:r w:rsidR="008700FB">
        <w:t xml:space="preserve">on remand, is the </w:t>
      </w:r>
      <w:r w:rsidR="008700FB" w:rsidRPr="00F92079">
        <w:rPr>
          <w:i/>
        </w:rPr>
        <w:t>court’s</w:t>
      </w:r>
      <w:r w:rsidR="008700FB">
        <w:t xml:space="preserve"> decision sufficiently final to avoid </w:t>
      </w:r>
      <w:proofErr w:type="spellStart"/>
      <w:r w:rsidR="008700FB">
        <w:t>vacatur</w:t>
      </w:r>
      <w:proofErr w:type="spellEnd"/>
      <w:r w:rsidR="008700FB">
        <w:t xml:space="preserve"> if </w:t>
      </w:r>
      <w:r>
        <w:t xml:space="preserve">the Federal Circuit eventually affirms the PTO’s </w:t>
      </w:r>
      <w:r w:rsidR="005E5A55">
        <w:t>in</w:t>
      </w:r>
      <w:r>
        <w:t xml:space="preserve">validity </w:t>
      </w:r>
      <w:r w:rsidR="005E5A55">
        <w:t>ruling</w:t>
      </w:r>
      <w:r w:rsidR="008700FB">
        <w:t xml:space="preserve">?  </w:t>
      </w:r>
      <w:r>
        <w:t xml:space="preserve">If all of Samsung’s appeals from the partial final judgment are concluded </w:t>
      </w:r>
      <w:r w:rsidR="008700FB">
        <w:t>when the Federal Circuit affirms the PTO</w:t>
      </w:r>
      <w:r>
        <w:t>, it would seem that t</w:t>
      </w:r>
      <w:r w:rsidR="007B6C38">
        <w:t xml:space="preserve">he “scope of relief” on Apple’s patent infringement claim </w:t>
      </w:r>
      <w:r w:rsidR="008700FB">
        <w:t>will have already</w:t>
      </w:r>
      <w:r>
        <w:t xml:space="preserve"> been definitively resolved and </w:t>
      </w:r>
      <w:r w:rsidR="008700FB">
        <w:t xml:space="preserve">that </w:t>
      </w:r>
      <w:r>
        <w:t>therefore Appl</w:t>
      </w:r>
      <w:r w:rsidR="008700FB">
        <w:t>e</w:t>
      </w:r>
      <w:r>
        <w:t xml:space="preserve">’s $548 million award </w:t>
      </w:r>
      <w:r w:rsidR="005E5A55">
        <w:t>is</w:t>
      </w:r>
      <w:r>
        <w:t xml:space="preserve"> </w:t>
      </w:r>
      <w:r w:rsidR="008700FB">
        <w:t>secure.</w:t>
      </w:r>
      <w:r w:rsidR="00AA2B5A">
        <w:t xml:space="preserve">  Indeed, the Federal Circuit’s opinion in </w:t>
      </w:r>
      <w:r w:rsidR="00AA2B5A">
        <w:rPr>
          <w:i/>
        </w:rPr>
        <w:t>Fresenius</w:t>
      </w:r>
      <w:r w:rsidR="00AA2B5A">
        <w:t xml:space="preserve">, in defining the finality of a court </w:t>
      </w:r>
      <w:r w:rsidR="0012014D">
        <w:t xml:space="preserve">decision </w:t>
      </w:r>
      <w:r w:rsidR="00AA2B5A">
        <w:t>for the purpose of being immune from the effects of PTO review, at times invoked language defining finality for the purpose of appeal.</w:t>
      </w:r>
      <w:r w:rsidR="00AA2B5A">
        <w:rPr>
          <w:rStyle w:val="FootnoteReference"/>
        </w:rPr>
        <w:footnoteReference w:id="253"/>
      </w:r>
      <w:r w:rsidR="00AA2B5A">
        <w:t xml:space="preserve">  And a </w:t>
      </w:r>
      <w:r w:rsidR="0012014D">
        <w:t xml:space="preserve">partial </w:t>
      </w:r>
      <w:r w:rsidR="00AA2B5A">
        <w:t>final judgment is, indisputably, sufficiently final that it is appealable.</w:t>
      </w:r>
      <w:r w:rsidR="0012014D">
        <w:rPr>
          <w:rStyle w:val="FootnoteReference"/>
        </w:rPr>
        <w:footnoteReference w:id="254"/>
      </w:r>
      <w:r w:rsidR="00AA2B5A">
        <w:t xml:space="preserve"> </w:t>
      </w:r>
      <w:r w:rsidR="002D1CD8">
        <w:t xml:space="preserve">  </w:t>
      </w:r>
    </w:p>
    <w:p w14:paraId="75251930" w14:textId="2CEAF919" w:rsidR="007B6C38" w:rsidRDefault="00F92079" w:rsidP="00BB6C22">
      <w:pPr>
        <w:tabs>
          <w:tab w:val="left" w:pos="360"/>
        </w:tabs>
        <w:jc w:val="both"/>
      </w:pPr>
      <w:r>
        <w:t xml:space="preserve">That said, some of the cases on which the Federal Circuit has relied in articulating the absolute finality rule suggest that </w:t>
      </w:r>
      <w:proofErr w:type="spellStart"/>
      <w:r>
        <w:t>vacatur</w:t>
      </w:r>
      <w:proofErr w:type="spellEnd"/>
      <w:r>
        <w:t xml:space="preserve"> of a court decision is permissible even when the only issues </w:t>
      </w:r>
      <w:r w:rsidR="005E5A55">
        <w:t xml:space="preserve">remaining </w:t>
      </w:r>
      <w:r>
        <w:t>in the case have nothing to do with patent infringement.</w:t>
      </w:r>
      <w:r>
        <w:rPr>
          <w:rStyle w:val="FootnoteReference"/>
        </w:rPr>
        <w:footnoteReference w:id="255"/>
      </w:r>
      <w:r w:rsidR="00AA2B5A">
        <w:t xml:space="preserve">  The </w:t>
      </w:r>
      <w:r w:rsidR="00AA2B5A">
        <w:rPr>
          <w:i/>
        </w:rPr>
        <w:t>Fresenius</w:t>
      </w:r>
      <w:r w:rsidR="00AA2B5A">
        <w:t xml:space="preserve"> opinion itself could also be read to suggest that a partial final judgment is not sufficient to avoid </w:t>
      </w:r>
      <w:proofErr w:type="spellStart"/>
      <w:r w:rsidR="00AA2B5A">
        <w:t>vacatur</w:t>
      </w:r>
      <w:proofErr w:type="spellEnd"/>
      <w:r w:rsidR="0012014D">
        <w:t xml:space="preserve">.  Specifically, the opinion at times </w:t>
      </w:r>
      <w:r w:rsidR="00E42459">
        <w:t xml:space="preserve">appears to </w:t>
      </w:r>
      <w:r w:rsidR="0012014D">
        <w:t>suggest that a “</w:t>
      </w:r>
      <w:r w:rsidR="00AA2B5A" w:rsidRPr="002D1CD8">
        <w:t xml:space="preserve">final damages judgment </w:t>
      </w:r>
      <w:r w:rsidR="00AA2B5A" w:rsidRPr="00AA2B5A">
        <w:rPr>
          <w:i/>
        </w:rPr>
        <w:t>ending a suit</w:t>
      </w:r>
      <w:r w:rsidR="0012014D">
        <w:t>” is required to immunize a court ruling from the effects of PTO review.</w:t>
      </w:r>
      <w:r w:rsidR="00AA2B5A">
        <w:rPr>
          <w:rStyle w:val="FootnoteReference"/>
        </w:rPr>
        <w:footnoteReference w:id="256"/>
      </w:r>
      <w:r>
        <w:t xml:space="preserve"> </w:t>
      </w:r>
      <w:r w:rsidR="008700FB">
        <w:t xml:space="preserve"> </w:t>
      </w:r>
      <w:r w:rsidR="005E5A55">
        <w:t>And i</w:t>
      </w:r>
      <w:r w:rsidR="008700FB">
        <w:t xml:space="preserve">f </w:t>
      </w:r>
      <w:r w:rsidR="00212E9F">
        <w:t xml:space="preserve">Samsung’s appeals from the partial final judgment are </w:t>
      </w:r>
      <w:r w:rsidR="00212E9F">
        <w:rPr>
          <w:i/>
        </w:rPr>
        <w:t>not</w:t>
      </w:r>
      <w:r w:rsidR="00212E9F">
        <w:t xml:space="preserve"> concluded when the Federal Circuit affirms the PTO’s invalidity decision, then </w:t>
      </w:r>
      <w:r w:rsidR="005E5A55">
        <w:t xml:space="preserve">the case for </w:t>
      </w:r>
      <w:proofErr w:type="spellStart"/>
      <w:r w:rsidR="005E5A55">
        <w:t>vacatur</w:t>
      </w:r>
      <w:proofErr w:type="spellEnd"/>
      <w:r w:rsidR="005E5A55">
        <w:t xml:space="preserve"> seems </w:t>
      </w:r>
      <w:r w:rsidR="004A066B">
        <w:t xml:space="preserve">even </w:t>
      </w:r>
      <w:r w:rsidR="005E5A55">
        <w:t>stronger because the scope of Apple’s relief on the patent infringement claims would not be fully resolved.  Further proceedings in this</w:t>
      </w:r>
      <w:r w:rsidR="004A066B">
        <w:t xml:space="preserve"> high-profile</w:t>
      </w:r>
      <w:r w:rsidR="005E5A55">
        <w:t xml:space="preserve"> case will </w:t>
      </w:r>
      <w:r w:rsidR="00E42459">
        <w:t xml:space="preserve">hopefully </w:t>
      </w:r>
      <w:r w:rsidR="005E5A55">
        <w:t xml:space="preserve">provide </w:t>
      </w:r>
      <w:r w:rsidR="004A066B">
        <w:t xml:space="preserve">important </w:t>
      </w:r>
      <w:r w:rsidR="005E5A55">
        <w:t xml:space="preserve">guidance about </w:t>
      </w:r>
      <w:r w:rsidR="004A066B">
        <w:t>whether partial final judgments are sufficiently final to avoid the effects of the PTO’s invalidation of the underlying patent</w:t>
      </w:r>
      <w:r w:rsidR="005E5A55">
        <w:t xml:space="preserve">.  </w:t>
      </w:r>
    </w:p>
    <w:p w14:paraId="1DF4C95F" w14:textId="6DA29BF2" w:rsidR="006B0056" w:rsidRDefault="00B23C6B" w:rsidP="00473C9A">
      <w:pPr>
        <w:tabs>
          <w:tab w:val="left" w:pos="360"/>
        </w:tabs>
        <w:jc w:val="both"/>
      </w:pPr>
      <w:r>
        <w:t xml:space="preserve">In </w:t>
      </w:r>
      <w:r w:rsidR="004A066B">
        <w:t>sum</w:t>
      </w:r>
      <w:r w:rsidR="006B0056">
        <w:t xml:space="preserve">, </w:t>
      </w:r>
      <w:r w:rsidR="00B87985">
        <w:t xml:space="preserve">despite </w:t>
      </w:r>
      <w:r w:rsidR="004A066B">
        <w:t>these</w:t>
      </w:r>
      <w:r w:rsidR="00B87985">
        <w:t xml:space="preserve"> lingering ambiguities, </w:t>
      </w:r>
      <w:r w:rsidR="006B0056">
        <w:t>the Federal Circuit’s rule</w:t>
      </w:r>
      <w:r w:rsidR="00BB6C22">
        <w:t xml:space="preserve"> for resolving conflicting validity decisions between the courts and the PTO</w:t>
      </w:r>
      <w:r w:rsidR="006B0056">
        <w:t xml:space="preserve"> can </w:t>
      </w:r>
      <w:r w:rsidR="00B87985">
        <w:lastRenderedPageBreak/>
        <w:t xml:space="preserve">essentially </w:t>
      </w:r>
      <w:r w:rsidR="006B0056">
        <w:t xml:space="preserve">be stated as one of absolute finality:  whichever proceeding, the court’s or the PTO’s, first </w:t>
      </w:r>
      <w:r w:rsidR="007C30A0">
        <w:t xml:space="preserve">reaches an absolute, irrevocable conclusion </w:t>
      </w:r>
      <w:r w:rsidR="006B0056">
        <w:t>will take precedence.</w:t>
      </w:r>
      <w:r>
        <w:t xml:space="preserve">  Although the court could be </w:t>
      </w:r>
      <w:r w:rsidR="00B83A5C">
        <w:t>clearer</w:t>
      </w:r>
      <w:r>
        <w:t xml:space="preserve"> about when, exactly, a proceeding becomes final, the rule provides </w:t>
      </w:r>
      <w:r w:rsidR="00B83A5C">
        <w:t>a relatively bright-line test for determining</w:t>
      </w:r>
      <w:r w:rsidR="00BB6C22">
        <w:t xml:space="preserve"> which decision</w:t>
      </w:r>
      <w:r w:rsidR="00FC3189">
        <w:t xml:space="preserve"> controls.  Yet, as explored in the next part of the article, the absolute finality rule also has several potentially </w:t>
      </w:r>
      <w:r w:rsidR="0030387B">
        <w:t>harmful</w:t>
      </w:r>
      <w:r w:rsidR="00FC3189">
        <w:t xml:space="preserve"> consequences.  </w:t>
      </w:r>
    </w:p>
    <w:p w14:paraId="28C738B1" w14:textId="5FA396D8" w:rsidR="00A02AF6" w:rsidRPr="0082778F" w:rsidRDefault="0082778F" w:rsidP="00EE7E94">
      <w:pPr>
        <w:keepNext/>
        <w:tabs>
          <w:tab w:val="left" w:pos="360"/>
        </w:tabs>
        <w:ind w:left="360" w:hanging="360"/>
        <w:jc w:val="center"/>
        <w:rPr>
          <w:smallCaps/>
        </w:rPr>
      </w:pPr>
      <w:r w:rsidRPr="00C73079">
        <w:rPr>
          <w:smallCaps/>
        </w:rPr>
        <w:t>III</w:t>
      </w:r>
      <w:r w:rsidR="00EC6FC7" w:rsidRPr="00C73079">
        <w:rPr>
          <w:smallCaps/>
        </w:rPr>
        <w:t>.</w:t>
      </w:r>
      <w:r w:rsidR="00EC6FC7" w:rsidRPr="001D3F8F">
        <w:rPr>
          <w:i/>
          <w:smallCaps/>
        </w:rPr>
        <w:tab/>
      </w:r>
      <w:r w:rsidR="00B23C6B">
        <w:rPr>
          <w:smallCaps/>
        </w:rPr>
        <w:t>Rethinking</w:t>
      </w:r>
      <w:r w:rsidR="00ED47FE">
        <w:rPr>
          <w:smallCaps/>
        </w:rPr>
        <w:t xml:space="preserve"> the</w:t>
      </w:r>
      <w:r w:rsidR="00885AAE">
        <w:rPr>
          <w:smallCaps/>
        </w:rPr>
        <w:t xml:space="preserve"> Absolute Finality Rule</w:t>
      </w:r>
    </w:p>
    <w:p w14:paraId="2804F0A2" w14:textId="0B81304A" w:rsidR="00BB6C22" w:rsidRDefault="00BB6C22" w:rsidP="007226DF">
      <w:pPr>
        <w:tabs>
          <w:tab w:val="left" w:pos="0"/>
          <w:tab w:val="left" w:pos="3870"/>
        </w:tabs>
        <w:jc w:val="both"/>
      </w:pPr>
      <w:r>
        <w:t xml:space="preserve">Among other things, </w:t>
      </w:r>
      <w:r w:rsidR="00FC3189">
        <w:t>the absolute finality rule</w:t>
      </w:r>
      <w:r>
        <w:t xml:space="preserve"> encourages wasteful procedural maneuvering, allows an adjudged infringer a second chance at proving invalidity, and threatens separation of powers by allowing an administrative agency to effectively nullify court judgments.  Consequently, </w:t>
      </w:r>
      <w:r w:rsidR="007226DF">
        <w:t xml:space="preserve">the merits of </w:t>
      </w:r>
      <w:r>
        <w:t xml:space="preserve">the absolute finality </w:t>
      </w:r>
      <w:r w:rsidR="00B83A5C">
        <w:t xml:space="preserve">rule </w:t>
      </w:r>
      <w:r w:rsidR="007226DF">
        <w:t>deserve</w:t>
      </w:r>
      <w:r>
        <w:t xml:space="preserve"> </w:t>
      </w:r>
      <w:r w:rsidR="007226DF">
        <w:t>close scrutiny</w:t>
      </w:r>
      <w:r>
        <w:t>.</w:t>
      </w:r>
      <w:r w:rsidR="00FC3189">
        <w:t xml:space="preserve">  This part </w:t>
      </w:r>
      <w:r w:rsidR="007226DF">
        <w:t xml:space="preserve">provides that normative analysis.  It </w:t>
      </w:r>
      <w:r w:rsidR="00FC3189">
        <w:t xml:space="preserve">begins by discussing </w:t>
      </w:r>
      <w:r w:rsidR="007226DF">
        <w:t xml:space="preserve">the </w:t>
      </w:r>
      <w:r w:rsidR="00FC3189">
        <w:t xml:space="preserve">separation of powers concerns raised by the absolute finality rule and critiquing, from a doctrinal perspective, the Federal Circuit decisions </w:t>
      </w:r>
      <w:r w:rsidR="007226DF">
        <w:t>embracing</w:t>
      </w:r>
      <w:r w:rsidR="00FC3189">
        <w:t xml:space="preserve"> </w:t>
      </w:r>
      <w:r w:rsidR="00EE7E94">
        <w:t>that</w:t>
      </w:r>
      <w:r w:rsidR="007226DF">
        <w:t xml:space="preserve"> </w:t>
      </w:r>
      <w:r w:rsidR="00FC3189">
        <w:t xml:space="preserve">rule.  It then evaluates the rule from a policy perspective and considers alternative ways that courts could resolve </w:t>
      </w:r>
      <w:r w:rsidR="00E8519F">
        <w:t xml:space="preserve">or avoid </w:t>
      </w:r>
      <w:r w:rsidR="00FC3189">
        <w:t>conflicts with the PTO.</w:t>
      </w:r>
    </w:p>
    <w:p w14:paraId="2FE79FD3" w14:textId="398D721D" w:rsidR="009A3B4C" w:rsidRDefault="009A3B4C" w:rsidP="007226DF">
      <w:pPr>
        <w:keepNext/>
        <w:tabs>
          <w:tab w:val="left" w:pos="360"/>
          <w:tab w:val="left" w:pos="3870"/>
        </w:tabs>
        <w:ind w:left="360" w:hanging="360"/>
        <w:jc w:val="center"/>
      </w:pPr>
      <w:r w:rsidRPr="00F34084">
        <w:t>A.</w:t>
      </w:r>
      <w:r w:rsidRPr="00F34084">
        <w:tab/>
      </w:r>
      <w:r w:rsidR="00A85C60" w:rsidRPr="00F34084">
        <w:t>Separation of Powers</w:t>
      </w:r>
    </w:p>
    <w:p w14:paraId="443BE684" w14:textId="0DA34BB1" w:rsidR="00325718" w:rsidRDefault="006D519C" w:rsidP="007226DF">
      <w:pPr>
        <w:tabs>
          <w:tab w:val="left" w:pos="360"/>
        </w:tabs>
        <w:jc w:val="both"/>
      </w:pPr>
      <w:r>
        <w:t xml:space="preserve">The absolute finality rule </w:t>
      </w:r>
      <w:r w:rsidR="00890AFE">
        <w:t>does</w:t>
      </w:r>
      <w:r>
        <w:t xml:space="preserve"> not necessarily </w:t>
      </w:r>
      <w:r w:rsidR="00890AFE">
        <w:t>violate</w:t>
      </w:r>
      <w:r>
        <w:t xml:space="preserve"> Supreme Court case law on separation of powers</w:t>
      </w:r>
      <w:r w:rsidR="00182E67">
        <w:t>, despite arguments to the contrary by at least one Federal Circuit judge</w:t>
      </w:r>
      <w:r>
        <w:t>.</w:t>
      </w:r>
      <w:r w:rsidR="00182E67">
        <w:rPr>
          <w:rStyle w:val="FootnoteReference"/>
        </w:rPr>
        <w:footnoteReference w:id="257"/>
      </w:r>
      <w:r>
        <w:t xml:space="preserve">  </w:t>
      </w:r>
      <w:r w:rsidR="00FC3189">
        <w:t>But because</w:t>
      </w:r>
      <w:r>
        <w:t xml:space="preserve"> </w:t>
      </w:r>
      <w:r w:rsidR="00E43EAD">
        <w:t xml:space="preserve">the rule allows </w:t>
      </w:r>
      <w:r>
        <w:t xml:space="preserve">a PTO decision </w:t>
      </w:r>
      <w:r w:rsidR="00E43EAD">
        <w:t>to</w:t>
      </w:r>
      <w:r w:rsidR="0030387B">
        <w:t xml:space="preserve"> </w:t>
      </w:r>
      <w:r w:rsidR="004A066B">
        <w:t>alter</w:t>
      </w:r>
      <w:r>
        <w:t xml:space="preserve"> a decision by an Article III court</w:t>
      </w:r>
      <w:r w:rsidR="00FC3189">
        <w:t xml:space="preserve">, </w:t>
      </w:r>
      <w:r>
        <w:t>separation of powers concerns</w:t>
      </w:r>
      <w:r w:rsidR="00FC3189">
        <w:t xml:space="preserve"> </w:t>
      </w:r>
      <w:r w:rsidR="0061509F">
        <w:t xml:space="preserve">cannot be ignored and provide </w:t>
      </w:r>
      <w:r w:rsidR="007226DF">
        <w:t>a good starting point for a normative analysis of the absolute finality rule.</w:t>
      </w:r>
    </w:p>
    <w:p w14:paraId="1BEE4C3A" w14:textId="0068C38C" w:rsidR="008C65D1" w:rsidRDefault="00903068" w:rsidP="008B33D6">
      <w:pPr>
        <w:tabs>
          <w:tab w:val="left" w:pos="360"/>
        </w:tabs>
        <w:jc w:val="both"/>
      </w:pPr>
      <w:r>
        <w:t>Separation of power</w:t>
      </w:r>
      <w:r w:rsidR="001C13F5">
        <w:t>s</w:t>
      </w:r>
      <w:r>
        <w:t xml:space="preserve"> doctrine prohibits the branches of the federal government from “encroaching on the central prerogatives” of one another.</w:t>
      </w:r>
      <w:r>
        <w:rPr>
          <w:rStyle w:val="FootnoteReference"/>
        </w:rPr>
        <w:footnoteReference w:id="258"/>
      </w:r>
      <w:r>
        <w:t xml:space="preserve">  Because, under Article III, the federal courts </w:t>
      </w:r>
      <w:r w:rsidR="008B33D6">
        <w:t xml:space="preserve">alone </w:t>
      </w:r>
      <w:r>
        <w:t xml:space="preserve">possess “the judicial Power of the </w:t>
      </w:r>
      <w:r w:rsidR="00F34084">
        <w:t>United</w:t>
      </w:r>
      <w:r>
        <w:t xml:space="preserve"> States,”</w:t>
      </w:r>
      <w:r>
        <w:rPr>
          <w:rStyle w:val="FootnoteReference"/>
        </w:rPr>
        <w:footnoteReference w:id="259"/>
      </w:r>
      <w:r>
        <w:t xml:space="preserve"> th</w:t>
      </w:r>
      <w:r w:rsidR="00847CFC">
        <w:t xml:space="preserve">e Supreme Court has </w:t>
      </w:r>
      <w:r>
        <w:t>held</w:t>
      </w:r>
      <w:r w:rsidR="00847CFC">
        <w:t xml:space="preserve"> that final judgments of Article III courts </w:t>
      </w:r>
      <w:r w:rsidR="00325718">
        <w:t>cannot be</w:t>
      </w:r>
      <w:r w:rsidR="00847CFC">
        <w:t xml:space="preserve"> overturned by other branches of government.  In </w:t>
      </w:r>
      <w:proofErr w:type="spellStart"/>
      <w:r w:rsidR="00847CFC">
        <w:rPr>
          <w:i/>
        </w:rPr>
        <w:t>Plaut</w:t>
      </w:r>
      <w:proofErr w:type="spellEnd"/>
      <w:r w:rsidR="00847CFC">
        <w:rPr>
          <w:i/>
        </w:rPr>
        <w:t xml:space="preserve"> v. </w:t>
      </w:r>
      <w:r w:rsidR="00A775C4">
        <w:rPr>
          <w:i/>
        </w:rPr>
        <w:t>Spendthrift</w:t>
      </w:r>
      <w:r w:rsidR="00847CFC">
        <w:rPr>
          <w:i/>
        </w:rPr>
        <w:t xml:space="preserve"> Farm, Inc.</w:t>
      </w:r>
      <w:r w:rsidR="00847CFC">
        <w:t xml:space="preserve">, for instance, the </w:t>
      </w:r>
      <w:r w:rsidR="00F34084">
        <w:t xml:space="preserve">Supreme </w:t>
      </w:r>
      <w:r w:rsidR="00847CFC">
        <w:t xml:space="preserve">Court held unconstitutional a federal statute that attempted to reinstate securities fraud claims that a federal </w:t>
      </w:r>
      <w:r w:rsidR="00BB3A99">
        <w:t xml:space="preserve">district </w:t>
      </w:r>
      <w:r w:rsidR="00847CFC">
        <w:t>court had previously held to be time barred.</w:t>
      </w:r>
      <w:r w:rsidR="00847CFC">
        <w:rPr>
          <w:rStyle w:val="FootnoteReference"/>
        </w:rPr>
        <w:footnoteReference w:id="260"/>
      </w:r>
      <w:r w:rsidR="006D519C">
        <w:t xml:space="preserve">  The Court reasoned that </w:t>
      </w:r>
      <w:r w:rsidR="00352553">
        <w:t>Article III “</w:t>
      </w:r>
      <w:r w:rsidR="006D519C" w:rsidRPr="006D519C">
        <w:t xml:space="preserve">gives the Federal Judiciary the power, not merely to rule on cases, but to </w:t>
      </w:r>
      <w:r w:rsidR="006D519C" w:rsidRPr="006D519C">
        <w:rPr>
          <w:i/>
        </w:rPr>
        <w:t>decide</w:t>
      </w:r>
      <w:r w:rsidR="006D519C" w:rsidRPr="006D519C">
        <w:t xml:space="preserve"> them, subject to review only by superior cour</w:t>
      </w:r>
      <w:r w:rsidR="00352553">
        <w:t xml:space="preserve">ts in the Article III </w:t>
      </w:r>
      <w:r w:rsidR="00352553">
        <w:lastRenderedPageBreak/>
        <w:t>hierarchy.”</w:t>
      </w:r>
      <w:r w:rsidR="00352553">
        <w:rPr>
          <w:rStyle w:val="FootnoteReference"/>
        </w:rPr>
        <w:footnoteReference w:id="261"/>
      </w:r>
      <w:r w:rsidR="00352553">
        <w:t xml:space="preserve">  I</w:t>
      </w:r>
      <w:r w:rsidR="00847CFC">
        <w:t>n a parallel line of cases</w:t>
      </w:r>
      <w:r w:rsidR="00A7167A">
        <w:t xml:space="preserve"> dating </w:t>
      </w:r>
      <w:r w:rsidR="00352553">
        <w:t xml:space="preserve">back </w:t>
      </w:r>
      <w:r w:rsidR="00890AFE">
        <w:t xml:space="preserve">to </w:t>
      </w:r>
      <w:r w:rsidR="00352553">
        <w:t xml:space="preserve">the </w:t>
      </w:r>
      <w:r w:rsidR="00A7167A">
        <w:t>eighteenth century</w:t>
      </w:r>
      <w:r w:rsidR="00352553">
        <w:rPr>
          <w:i/>
        </w:rPr>
        <w:t xml:space="preserve"> </w:t>
      </w:r>
      <w:r w:rsidR="00847CFC">
        <w:t xml:space="preserve">the </w:t>
      </w:r>
      <w:r w:rsidR="00F34084">
        <w:t xml:space="preserve">Supreme </w:t>
      </w:r>
      <w:r w:rsidR="00847CFC">
        <w:t xml:space="preserve">Court has </w:t>
      </w:r>
      <w:r w:rsidR="00352553">
        <w:t xml:space="preserve">confirmed that officials in the executive branch (which includes the PTO) may not review on appeal the decisions of </w:t>
      </w:r>
      <w:r w:rsidR="00847CFC">
        <w:t>Article III</w:t>
      </w:r>
      <w:r w:rsidR="00325718">
        <w:t xml:space="preserve"> courts</w:t>
      </w:r>
      <w:r w:rsidR="00847CFC">
        <w:t>.</w:t>
      </w:r>
      <w:r w:rsidR="00A7167A">
        <w:t xml:space="preserve"> </w:t>
      </w:r>
      <w:r w:rsidR="00F34084">
        <w:t xml:space="preserve"> </w:t>
      </w:r>
      <w:r w:rsidR="00A7167A">
        <w:t xml:space="preserve">In its 1792 opinion in </w:t>
      </w:r>
      <w:proofErr w:type="spellStart"/>
      <w:r w:rsidR="00A7167A">
        <w:rPr>
          <w:i/>
        </w:rPr>
        <w:t>Hayburn’s</w:t>
      </w:r>
      <w:proofErr w:type="spellEnd"/>
      <w:r w:rsidR="00A7167A">
        <w:rPr>
          <w:i/>
        </w:rPr>
        <w:t xml:space="preserve"> </w:t>
      </w:r>
      <w:r w:rsidR="00A7167A" w:rsidRPr="00A7167A">
        <w:rPr>
          <w:i/>
        </w:rPr>
        <w:t>Case</w:t>
      </w:r>
      <w:r w:rsidR="00A7167A">
        <w:t xml:space="preserve">, for example, the Court </w:t>
      </w:r>
      <w:r w:rsidR="00EB4F86">
        <w:t>ruled</w:t>
      </w:r>
      <w:r w:rsidR="00A7167A">
        <w:t xml:space="preserve"> that </w:t>
      </w:r>
      <w:r w:rsidR="00A7167A" w:rsidRPr="00A7167A">
        <w:t>Congress</w:t>
      </w:r>
      <w:r w:rsidR="00A7167A">
        <w:t xml:space="preserve"> could not authorize the federal courts to determine whether Revolutionary War veterans were eligible for a federal </w:t>
      </w:r>
      <w:r w:rsidR="0030387B">
        <w:t>pension</w:t>
      </w:r>
      <w:r w:rsidR="00A7167A">
        <w:t xml:space="preserve"> when, under the pension statute, those determinations were subject to review </w:t>
      </w:r>
      <w:r w:rsidR="00EF6DD1">
        <w:t>by the Secretary of War</w:t>
      </w:r>
      <w:r w:rsidR="00A7167A">
        <w:t>.</w:t>
      </w:r>
      <w:r w:rsidR="00A7167A">
        <w:rPr>
          <w:rStyle w:val="FootnoteReference"/>
        </w:rPr>
        <w:footnoteReference w:id="262"/>
      </w:r>
      <w:r w:rsidR="008B33D6">
        <w:t xml:space="preserve">  </w:t>
      </w:r>
    </w:p>
    <w:p w14:paraId="305DFEBD" w14:textId="73F642CB" w:rsidR="00B14666" w:rsidRDefault="00EF6DD1" w:rsidP="001C13F5">
      <w:pPr>
        <w:tabs>
          <w:tab w:val="left" w:pos="360"/>
        </w:tabs>
        <w:jc w:val="both"/>
      </w:pPr>
      <w:r>
        <w:t>In</w:t>
      </w:r>
      <w:r w:rsidR="00B14666">
        <w:t xml:space="preserve"> contrast</w:t>
      </w:r>
      <w:r>
        <w:t xml:space="preserve"> to </w:t>
      </w:r>
      <w:r w:rsidR="0061509F">
        <w:t>these</w:t>
      </w:r>
      <w:r>
        <w:t xml:space="preserve"> decisions forbidding Congress and the executive branch from reviewing or altering the decisions of Article III courts, </w:t>
      </w:r>
      <w:r w:rsidR="00B14666">
        <w:t xml:space="preserve">the </w:t>
      </w:r>
      <w:r>
        <w:t xml:space="preserve">Supreme </w:t>
      </w:r>
      <w:r w:rsidR="00B14666">
        <w:t xml:space="preserve">Court has allowed Congress to prospectively </w:t>
      </w:r>
      <w:r w:rsidR="00E42459">
        <w:t>modify</w:t>
      </w:r>
      <w:r w:rsidR="00B14666">
        <w:t xml:space="preserve"> the effect of injunctions entered by the federal courts.  In </w:t>
      </w:r>
      <w:r w:rsidR="00B14666">
        <w:rPr>
          <w:i/>
        </w:rPr>
        <w:t>Miller v. French</w:t>
      </w:r>
      <w:r w:rsidR="00B14666">
        <w:t>, for instance, the Court upheld</w:t>
      </w:r>
      <w:r w:rsidR="0061509F">
        <w:t xml:space="preserve"> the constitutionality of</w:t>
      </w:r>
      <w:r w:rsidR="00B14666">
        <w:t xml:space="preserve"> a provision of the Prison Litigation Reform Act </w:t>
      </w:r>
      <w:r w:rsidR="00754396">
        <w:t xml:space="preserve">(PLRA) </w:t>
      </w:r>
      <w:r w:rsidR="00B14666">
        <w:t>that</w:t>
      </w:r>
      <w:r w:rsidR="00106207" w:rsidRPr="00106207">
        <w:t xml:space="preserve"> </w:t>
      </w:r>
      <w:r w:rsidR="00106207">
        <w:t xml:space="preserve">automatically stayed a previously entered injunction </w:t>
      </w:r>
      <w:r w:rsidR="00B14666">
        <w:t xml:space="preserve">upon the </w:t>
      </w:r>
      <w:r w:rsidR="0061509F">
        <w:t xml:space="preserve">defendant’s </w:t>
      </w:r>
      <w:r w:rsidR="00B14666">
        <w:t xml:space="preserve">filing of a motion to terminate </w:t>
      </w:r>
      <w:r w:rsidR="00106207">
        <w:t>that injunction</w:t>
      </w:r>
      <w:r w:rsidR="00B14666">
        <w:t>.</w:t>
      </w:r>
      <w:r w:rsidR="00B14666">
        <w:rPr>
          <w:rStyle w:val="FootnoteReference"/>
        </w:rPr>
        <w:footnoteReference w:id="263"/>
      </w:r>
      <w:r w:rsidR="00B14666">
        <w:t xml:space="preserve">  In distinguishing </w:t>
      </w:r>
      <w:proofErr w:type="spellStart"/>
      <w:r w:rsidR="00B14666">
        <w:rPr>
          <w:i/>
        </w:rPr>
        <w:t>Plaut</w:t>
      </w:r>
      <w:proofErr w:type="spellEnd"/>
      <w:r>
        <w:t xml:space="preserve">, which struck down </w:t>
      </w:r>
      <w:r w:rsidR="0061509F">
        <w:t>a</w:t>
      </w:r>
      <w:r w:rsidR="00B14666">
        <w:t xml:space="preserve"> statute reinstating </w:t>
      </w:r>
      <w:r>
        <w:t xml:space="preserve">previously dismissed </w:t>
      </w:r>
      <w:r w:rsidR="00B14666">
        <w:t xml:space="preserve">securities fraud claims, the Court emphasized </w:t>
      </w:r>
      <w:r w:rsidR="00C0530C">
        <w:t>a</w:t>
      </w:r>
      <w:r w:rsidR="00B14666">
        <w:t xml:space="preserve"> distinction between </w:t>
      </w:r>
      <w:r w:rsidR="00C0530C">
        <w:t>injunctions and judgments in suits seeking money damages</w:t>
      </w:r>
      <w:r>
        <w:t>.</w:t>
      </w:r>
      <w:r>
        <w:rPr>
          <w:rStyle w:val="FootnoteReference"/>
        </w:rPr>
        <w:footnoteReference w:id="264"/>
      </w:r>
      <w:r w:rsidR="001C13F5">
        <w:t xml:space="preserve">  </w:t>
      </w:r>
      <w:r>
        <w:t>Legislative r</w:t>
      </w:r>
      <w:r w:rsidR="001C13F5">
        <w:t xml:space="preserve">eopening </w:t>
      </w:r>
      <w:r>
        <w:t xml:space="preserve">of </w:t>
      </w:r>
      <w:r w:rsidR="001C13F5">
        <w:t xml:space="preserve">a judgment in a suit seeking damages is not permissible, the Court explained, because that judgment is the “‘last </w:t>
      </w:r>
      <w:r w:rsidR="00C0530C">
        <w:t>word of the judicial department.</w:t>
      </w:r>
      <w:r w:rsidR="001C13F5">
        <w:t>’”</w:t>
      </w:r>
      <w:r w:rsidR="00C0530C">
        <w:rPr>
          <w:rStyle w:val="FootnoteReference"/>
        </w:rPr>
        <w:footnoteReference w:id="265"/>
      </w:r>
      <w:r w:rsidR="00C0530C">
        <w:t xml:space="preserve">  L</w:t>
      </w:r>
      <w:r w:rsidR="001C13F5">
        <w:t>egislative alteration of injunctions</w:t>
      </w:r>
      <w:r w:rsidR="00C0530C">
        <w:t>, by contrast,</w:t>
      </w:r>
      <w:r w:rsidR="001C13F5">
        <w:t xml:space="preserve"> is permissible because there has been no “final” court decision—a </w:t>
      </w:r>
      <w:r w:rsidR="00B14666">
        <w:t>court always retains authority to modify an injunction.</w:t>
      </w:r>
      <w:r>
        <w:rPr>
          <w:rStyle w:val="FootnoteReference"/>
        </w:rPr>
        <w:footnoteReference w:id="266"/>
      </w:r>
    </w:p>
    <w:p w14:paraId="06F3EC6B" w14:textId="1BEF369A" w:rsidR="00B14666" w:rsidRDefault="00EE7E94" w:rsidP="00B14666">
      <w:pPr>
        <w:tabs>
          <w:tab w:val="left" w:pos="360"/>
        </w:tabs>
        <w:jc w:val="both"/>
      </w:pPr>
      <w:r>
        <w:t xml:space="preserve">Although the Federal Circuit’s recent decisions in </w:t>
      </w:r>
      <w:r>
        <w:rPr>
          <w:i/>
        </w:rPr>
        <w:t>Fresenius</w:t>
      </w:r>
      <w:r>
        <w:t xml:space="preserve"> and </w:t>
      </w:r>
      <w:proofErr w:type="spellStart"/>
      <w:r>
        <w:rPr>
          <w:i/>
        </w:rPr>
        <w:t>ePlus</w:t>
      </w:r>
      <w:proofErr w:type="spellEnd"/>
      <w:r>
        <w:t xml:space="preserve"> </w:t>
      </w:r>
      <w:r w:rsidR="00A7167A">
        <w:t>could</w:t>
      </w:r>
      <w:r>
        <w:t xml:space="preserve"> be characterized as allowing the executive branch to </w:t>
      </w:r>
      <w:r w:rsidR="001C13F5">
        <w:t xml:space="preserve">impermissibly </w:t>
      </w:r>
      <w:r>
        <w:t>overturn a court judgment</w:t>
      </w:r>
      <w:r w:rsidR="001C13F5">
        <w:t xml:space="preserve"> in a lawsuit seeking damages</w:t>
      </w:r>
      <w:r>
        <w:t>,</w:t>
      </w:r>
      <w:r w:rsidR="0030387B">
        <w:rPr>
          <w:rStyle w:val="FootnoteReference"/>
        </w:rPr>
        <w:footnoteReference w:id="267"/>
      </w:r>
      <w:r>
        <w:t xml:space="preserve"> </w:t>
      </w:r>
      <w:r w:rsidR="00B14666">
        <w:t xml:space="preserve">those Federal Circuit decisions can be distinguished from the Supreme Court’s </w:t>
      </w:r>
      <w:r w:rsidR="005E3308">
        <w:t xml:space="preserve">decisions in </w:t>
      </w:r>
      <w:proofErr w:type="spellStart"/>
      <w:r w:rsidR="005E3308">
        <w:rPr>
          <w:i/>
        </w:rPr>
        <w:t>Plaut</w:t>
      </w:r>
      <w:proofErr w:type="spellEnd"/>
      <w:r w:rsidR="005E3308">
        <w:t xml:space="preserve"> and </w:t>
      </w:r>
      <w:proofErr w:type="spellStart"/>
      <w:r w:rsidR="005E3308">
        <w:rPr>
          <w:i/>
        </w:rPr>
        <w:t>Hayburn’s</w:t>
      </w:r>
      <w:proofErr w:type="spellEnd"/>
      <w:r w:rsidR="005E3308">
        <w:rPr>
          <w:i/>
        </w:rPr>
        <w:t xml:space="preserve"> Case</w:t>
      </w:r>
      <w:r w:rsidR="005E3308">
        <w:t xml:space="preserve">, which </w:t>
      </w:r>
      <w:r w:rsidR="00EB4F86">
        <w:t>disapproved of</w:t>
      </w:r>
      <w:r w:rsidR="00B14666">
        <w:t xml:space="preserve"> </w:t>
      </w:r>
      <w:r w:rsidR="001C13F5">
        <w:t>statutes on separation of powers grounds</w:t>
      </w:r>
      <w:r w:rsidR="00B14666">
        <w:t xml:space="preserve">.  </w:t>
      </w:r>
      <w:r w:rsidR="00325718">
        <w:t>I</w:t>
      </w:r>
      <w:r w:rsidR="00352553">
        <w:t xml:space="preserve">n </w:t>
      </w:r>
      <w:proofErr w:type="spellStart"/>
      <w:r w:rsidR="00847CFC">
        <w:rPr>
          <w:i/>
        </w:rPr>
        <w:t>Plaut</w:t>
      </w:r>
      <w:proofErr w:type="spellEnd"/>
      <w:r w:rsidR="00352553">
        <w:t xml:space="preserve">, </w:t>
      </w:r>
      <w:r w:rsidR="00325718">
        <w:t xml:space="preserve">Congress sought to overturn </w:t>
      </w:r>
      <w:r w:rsidR="00890AFE">
        <w:t>a</w:t>
      </w:r>
      <w:r w:rsidR="00325718">
        <w:t xml:space="preserve"> final, litigation-ending judgment </w:t>
      </w:r>
      <w:r w:rsidR="009E209B">
        <w:t xml:space="preserve">entered by </w:t>
      </w:r>
      <w:r w:rsidR="00182E67">
        <w:t>a</w:t>
      </w:r>
      <w:r w:rsidR="009E209B">
        <w:t xml:space="preserve"> district court</w:t>
      </w:r>
      <w:r w:rsidR="00352553">
        <w:t>.</w:t>
      </w:r>
      <w:r w:rsidR="009E209B">
        <w:t xml:space="preserve">  By contrast, in </w:t>
      </w:r>
      <w:r w:rsidR="00890AFE">
        <w:t xml:space="preserve">Federal Circuit </w:t>
      </w:r>
      <w:r w:rsidR="009E209B">
        <w:t xml:space="preserve">cases such as </w:t>
      </w:r>
      <w:r w:rsidR="009E209B">
        <w:rPr>
          <w:i/>
        </w:rPr>
        <w:t xml:space="preserve">Fresenius </w:t>
      </w:r>
      <w:r w:rsidR="009E209B">
        <w:t xml:space="preserve">and </w:t>
      </w:r>
      <w:proofErr w:type="spellStart"/>
      <w:r w:rsidR="009E209B" w:rsidRPr="009E209B">
        <w:rPr>
          <w:i/>
        </w:rPr>
        <w:t>ePlus</w:t>
      </w:r>
      <w:proofErr w:type="spellEnd"/>
      <w:r w:rsidR="009E209B">
        <w:t xml:space="preserve">, </w:t>
      </w:r>
      <w:r w:rsidR="009E209B" w:rsidRPr="009E209B">
        <w:t>the</w:t>
      </w:r>
      <w:r w:rsidR="009E209B">
        <w:t xml:space="preserve"> district court had not entered a litigation-ending judgment at the time the PTO </w:t>
      </w:r>
      <w:r w:rsidR="009E209B">
        <w:lastRenderedPageBreak/>
        <w:t xml:space="preserve">post-issuance proceedings concluded.  </w:t>
      </w:r>
      <w:r w:rsidR="00352553">
        <w:t xml:space="preserve">Indeed, if the district court </w:t>
      </w:r>
      <w:r w:rsidR="00352553" w:rsidRPr="00182E67">
        <w:rPr>
          <w:i/>
        </w:rPr>
        <w:t>had</w:t>
      </w:r>
      <w:r w:rsidR="00352553">
        <w:t xml:space="preserve"> entered such a judgment, that judgment</w:t>
      </w:r>
      <w:r w:rsidR="00BB3A99">
        <w:t xml:space="preserve">, under the </w:t>
      </w:r>
      <w:r w:rsidR="00B14666">
        <w:t xml:space="preserve">Federal Circuit’s </w:t>
      </w:r>
      <w:r w:rsidR="00BB3A99">
        <w:t>absolute finality rule,</w:t>
      </w:r>
      <w:r w:rsidR="00352553">
        <w:t xml:space="preserve"> w</w:t>
      </w:r>
      <w:r w:rsidR="00E43EAD">
        <w:t>ould have taken precedence</w:t>
      </w:r>
      <w:r w:rsidR="00847CFC">
        <w:t>.</w:t>
      </w:r>
      <w:r w:rsidR="00847CFC">
        <w:rPr>
          <w:rStyle w:val="FootnoteReference"/>
        </w:rPr>
        <w:footnoteReference w:id="268"/>
      </w:r>
      <w:r w:rsidR="00847CFC">
        <w:t xml:space="preserve">  </w:t>
      </w:r>
      <w:r w:rsidR="002E57F2">
        <w:t>T</w:t>
      </w:r>
      <w:r w:rsidR="00352553">
        <w:t xml:space="preserve">he absolute finality rule is </w:t>
      </w:r>
      <w:r w:rsidR="002E57F2">
        <w:t xml:space="preserve">also </w:t>
      </w:r>
      <w:r w:rsidR="00352553">
        <w:t xml:space="preserve">consistent with </w:t>
      </w:r>
      <w:proofErr w:type="spellStart"/>
      <w:r w:rsidR="00352553">
        <w:rPr>
          <w:i/>
        </w:rPr>
        <w:t>Hayburn’s</w:t>
      </w:r>
      <w:proofErr w:type="spellEnd"/>
      <w:r w:rsidR="00352553">
        <w:rPr>
          <w:i/>
        </w:rPr>
        <w:t xml:space="preserve"> Case</w:t>
      </w:r>
      <w:r w:rsidR="00352553">
        <w:t xml:space="preserve"> and its ban on executive review of judicial decisions.  I</w:t>
      </w:r>
      <w:r w:rsidR="00847CFC">
        <w:t>n post-issuance rev</w:t>
      </w:r>
      <w:r w:rsidR="002E57F2">
        <w:t>iew proceedings, the PTO is not</w:t>
      </w:r>
      <w:r w:rsidR="00957DC7">
        <w:t xml:space="preserve"> reviewing a court’s</w:t>
      </w:r>
      <w:r w:rsidR="00847CFC">
        <w:t xml:space="preserve"> decision on patent validity,</w:t>
      </w:r>
      <w:r w:rsidR="00352553">
        <w:t xml:space="preserve"> </w:t>
      </w:r>
      <w:r w:rsidR="00847CFC">
        <w:t xml:space="preserve">it is reconsidering its </w:t>
      </w:r>
      <w:r w:rsidR="00847CFC" w:rsidRPr="00957DC7">
        <w:rPr>
          <w:i/>
        </w:rPr>
        <w:t>own</w:t>
      </w:r>
      <w:r w:rsidR="00847CFC">
        <w:t xml:space="preserve"> decision to issue the patent.</w:t>
      </w:r>
      <w:r w:rsidR="0030387B">
        <w:rPr>
          <w:rStyle w:val="FootnoteReference"/>
        </w:rPr>
        <w:footnoteReference w:id="269"/>
      </w:r>
      <w:r w:rsidR="00847CFC">
        <w:t xml:space="preserve">  </w:t>
      </w:r>
    </w:p>
    <w:p w14:paraId="66E223D7" w14:textId="5CDF727C" w:rsidR="001C13F5" w:rsidRPr="00754396" w:rsidRDefault="001C13F5" w:rsidP="00B14666">
      <w:pPr>
        <w:tabs>
          <w:tab w:val="left" w:pos="360"/>
        </w:tabs>
        <w:jc w:val="both"/>
      </w:pPr>
      <w:r>
        <w:t xml:space="preserve">Yet </w:t>
      </w:r>
      <w:r>
        <w:rPr>
          <w:i/>
        </w:rPr>
        <w:t>Miller</w:t>
      </w:r>
      <w:r>
        <w:t xml:space="preserve">, which upheld </w:t>
      </w:r>
      <w:r w:rsidR="00754396">
        <w:t xml:space="preserve">the </w:t>
      </w:r>
      <w:r w:rsidR="00106207">
        <w:t xml:space="preserve">automatic stay provision of the </w:t>
      </w:r>
      <w:r w:rsidR="00754396">
        <w:t xml:space="preserve">PLRA even though </w:t>
      </w:r>
      <w:r w:rsidR="00106207">
        <w:t>the stay</w:t>
      </w:r>
      <w:r w:rsidR="00754396">
        <w:t xml:space="preserve"> alter</w:t>
      </w:r>
      <w:r w:rsidR="001A0431">
        <w:t>ed</w:t>
      </w:r>
      <w:r w:rsidR="00754396">
        <w:t xml:space="preserve"> the effect of a judgment entered by an Article III court, also does not provide definitive support fo</w:t>
      </w:r>
      <w:r w:rsidR="00EF6DD1">
        <w:t xml:space="preserve">r the Federal Circuit’s </w:t>
      </w:r>
      <w:r w:rsidR="004A066B">
        <w:t>absolute finality rule</w:t>
      </w:r>
      <w:r w:rsidR="00754396">
        <w:t xml:space="preserve">.  </w:t>
      </w:r>
      <w:r w:rsidR="001A0431">
        <w:t xml:space="preserve">The Court in </w:t>
      </w:r>
      <w:r w:rsidR="00754396">
        <w:rPr>
          <w:i/>
        </w:rPr>
        <w:t>Miller</w:t>
      </w:r>
      <w:r w:rsidR="00754396">
        <w:t xml:space="preserve"> approved of legislation altering the scope of prospective </w:t>
      </w:r>
      <w:r w:rsidR="00EF6DD1">
        <w:t xml:space="preserve">injunctive </w:t>
      </w:r>
      <w:r w:rsidR="00754396">
        <w:t>relief</w:t>
      </w:r>
      <w:r w:rsidR="005E3308">
        <w:t xml:space="preserve"> but, i</w:t>
      </w:r>
      <w:r w:rsidR="00754396">
        <w:t xml:space="preserve">n both </w:t>
      </w:r>
      <w:r w:rsidR="00754396">
        <w:rPr>
          <w:i/>
        </w:rPr>
        <w:t>Fresenius</w:t>
      </w:r>
      <w:r w:rsidR="00754396">
        <w:t xml:space="preserve"> and </w:t>
      </w:r>
      <w:proofErr w:type="spellStart"/>
      <w:r w:rsidR="00754396">
        <w:rPr>
          <w:i/>
        </w:rPr>
        <w:t>ePlus</w:t>
      </w:r>
      <w:proofErr w:type="spellEnd"/>
      <w:r w:rsidR="005E3308">
        <w:t xml:space="preserve">, </w:t>
      </w:r>
      <w:r w:rsidR="00754396">
        <w:t xml:space="preserve">the PTO’s invalidity decisions had the effect of wiping out court awards </w:t>
      </w:r>
      <w:r w:rsidR="00EF6DD1">
        <w:t xml:space="preserve">of </w:t>
      </w:r>
      <w:r w:rsidR="00754396" w:rsidRPr="005E3308">
        <w:t>retrospective</w:t>
      </w:r>
      <w:r w:rsidR="00754396">
        <w:t xml:space="preserve"> monetary relief.</w:t>
      </w:r>
      <w:r w:rsidR="001A0431">
        <w:t xml:space="preserve">  The distinction between injunctions and damages was critical to Court’s reasoning in </w:t>
      </w:r>
      <w:r w:rsidR="001A0431">
        <w:rPr>
          <w:i/>
        </w:rPr>
        <w:t>Miller</w:t>
      </w:r>
      <w:r w:rsidR="001A0431">
        <w:t xml:space="preserve">, as the Court acknowledged that </w:t>
      </w:r>
      <w:proofErr w:type="spellStart"/>
      <w:r w:rsidR="001A0431">
        <w:rPr>
          <w:i/>
        </w:rPr>
        <w:t>Plaut</w:t>
      </w:r>
      <w:proofErr w:type="spellEnd"/>
      <w:r w:rsidR="005B4A18">
        <w:t xml:space="preserve"> forbids Congress or the executive branch</w:t>
      </w:r>
      <w:r w:rsidR="001A0431">
        <w:t xml:space="preserve"> from reopening court judgments in lawsuits seeking damages.</w:t>
      </w:r>
      <w:r w:rsidR="004A066B">
        <w:rPr>
          <w:rStyle w:val="FootnoteReference"/>
        </w:rPr>
        <w:footnoteReference w:id="270"/>
      </w:r>
      <w:r w:rsidR="001A0431">
        <w:t xml:space="preserve">  </w:t>
      </w:r>
      <w:r w:rsidR="00754396">
        <w:t xml:space="preserve"> </w:t>
      </w:r>
    </w:p>
    <w:p w14:paraId="578C7C5A" w14:textId="7832ABC5" w:rsidR="00847CFC" w:rsidRDefault="00754396" w:rsidP="001C13F5">
      <w:pPr>
        <w:tabs>
          <w:tab w:val="left" w:pos="360"/>
        </w:tabs>
        <w:jc w:val="both"/>
      </w:pPr>
      <w:r>
        <w:t xml:space="preserve">In short, all of </w:t>
      </w:r>
      <w:r w:rsidR="00EF6DD1">
        <w:t xml:space="preserve">the patent cases recently confronted by the Federal Circuit can be distinguished from </w:t>
      </w:r>
      <w:r>
        <w:t>the Supreme Court’s leading decis</w:t>
      </w:r>
      <w:r w:rsidR="00EF6DD1">
        <w:t>ions on separation of powers</w:t>
      </w:r>
      <w:r>
        <w:t xml:space="preserve">.  Yet the absolute finality rule, which grants precedence to PTO decisions of invalidity despite district court rulings rejecting challenges to patent validity, </w:t>
      </w:r>
      <w:r w:rsidR="00EF6DD1">
        <w:t xml:space="preserve">is still in tension with </w:t>
      </w:r>
      <w:r>
        <w:t xml:space="preserve">the basic policy that the federal courts should have the last word on cases that fall within their jurisdiction.  This underlying tension provides a reason to at least be skeptical of the Federal Circuit’s approach, even if it cannot </w:t>
      </w:r>
      <w:r w:rsidR="005E3308">
        <w:t xml:space="preserve">definitively </w:t>
      </w:r>
      <w:r>
        <w:t>be said that the Federal Circuit’s approach is unconstitutional.</w:t>
      </w:r>
      <w:r w:rsidR="003F0957">
        <w:t xml:space="preserve"> </w:t>
      </w:r>
    </w:p>
    <w:p w14:paraId="6B11B239" w14:textId="31426D1A" w:rsidR="00847CFC" w:rsidRPr="002208D1" w:rsidRDefault="006343CA" w:rsidP="00325718">
      <w:pPr>
        <w:keepNext/>
        <w:tabs>
          <w:tab w:val="left" w:pos="360"/>
        </w:tabs>
        <w:ind w:left="360" w:hanging="360"/>
        <w:jc w:val="center"/>
      </w:pPr>
      <w:r>
        <w:t>B.</w:t>
      </w:r>
      <w:r>
        <w:tab/>
        <w:t>Doctrinal Reassessment</w:t>
      </w:r>
    </w:p>
    <w:p w14:paraId="571213CA" w14:textId="25954D2C" w:rsidR="002F2547" w:rsidRDefault="00957DC7" w:rsidP="00172318">
      <w:pPr>
        <w:tabs>
          <w:tab w:val="left" w:pos="360"/>
        </w:tabs>
        <w:jc w:val="both"/>
      </w:pPr>
      <w:r>
        <w:t xml:space="preserve">Another reason to be skeptical of the </w:t>
      </w:r>
      <w:r w:rsidR="00325718">
        <w:t xml:space="preserve">Federal Circuit’s </w:t>
      </w:r>
      <w:r>
        <w:t xml:space="preserve">absolute finality rule is that </w:t>
      </w:r>
      <w:r w:rsidR="00325718">
        <w:t>the rule is based on several authorities that</w:t>
      </w:r>
      <w:r w:rsidR="009E209B">
        <w:t xml:space="preserve">, contrary to the court’s contentions, do not </w:t>
      </w:r>
      <w:r w:rsidR="001A0431">
        <w:t>clearly</w:t>
      </w:r>
      <w:r w:rsidR="009E209B">
        <w:t xml:space="preserve"> indicate how to resolve conflicting decisions between a court and the PTO</w:t>
      </w:r>
      <w:r w:rsidR="00182E67">
        <w:t xml:space="preserve"> in concurrent proceedings</w:t>
      </w:r>
      <w:r w:rsidR="009E209B">
        <w:t>.</w:t>
      </w:r>
    </w:p>
    <w:p w14:paraId="43453242" w14:textId="32772277" w:rsidR="002F2547" w:rsidRPr="002F2547" w:rsidRDefault="002F2547" w:rsidP="002F2547">
      <w:pPr>
        <w:keepNext/>
        <w:tabs>
          <w:tab w:val="left" w:pos="360"/>
        </w:tabs>
        <w:ind w:left="720" w:hanging="360"/>
        <w:jc w:val="both"/>
        <w:rPr>
          <w:i/>
        </w:rPr>
      </w:pPr>
      <w:r w:rsidRPr="002F2547">
        <w:rPr>
          <w:i/>
        </w:rPr>
        <w:t>1.</w:t>
      </w:r>
      <w:r w:rsidRPr="002F2547">
        <w:rPr>
          <w:i/>
        </w:rPr>
        <w:tab/>
      </w:r>
      <w:r>
        <w:rPr>
          <w:i/>
        </w:rPr>
        <w:t>The</w:t>
      </w:r>
      <w:r w:rsidRPr="002F2547">
        <w:rPr>
          <w:i/>
        </w:rPr>
        <w:t xml:space="preserve"> Basis </w:t>
      </w:r>
      <w:r>
        <w:rPr>
          <w:i/>
        </w:rPr>
        <w:t>of</w:t>
      </w:r>
      <w:r w:rsidRPr="002F2547">
        <w:rPr>
          <w:i/>
        </w:rPr>
        <w:t xml:space="preserve"> the Absolute Finality Rule</w:t>
      </w:r>
    </w:p>
    <w:p w14:paraId="2F6AA02C" w14:textId="284ECDA2" w:rsidR="00172318" w:rsidRDefault="00957DC7" w:rsidP="00172318">
      <w:pPr>
        <w:tabs>
          <w:tab w:val="left" w:pos="360"/>
        </w:tabs>
        <w:jc w:val="both"/>
      </w:pPr>
      <w:r>
        <w:t xml:space="preserve">In holding that a PTO decision </w:t>
      </w:r>
      <w:r w:rsidR="00890AFE">
        <w:t xml:space="preserve">of invalidity </w:t>
      </w:r>
      <w:r w:rsidR="00FC5472">
        <w:t>takes precedence over</w:t>
      </w:r>
      <w:r w:rsidR="00890AFE">
        <w:t xml:space="preserve"> a </w:t>
      </w:r>
      <w:r>
        <w:t>court decision rejecting an invalidity challenge</w:t>
      </w:r>
      <w:r w:rsidR="006B644B">
        <w:t>,</w:t>
      </w:r>
      <w:r w:rsidR="004C6D13">
        <w:t xml:space="preserve"> the Federal Circuit has </w:t>
      </w:r>
      <w:r w:rsidR="00F72252">
        <w:t xml:space="preserve">relied heavily on </w:t>
      </w:r>
      <w:r w:rsidR="00057628">
        <w:t>prior decision</w:t>
      </w:r>
      <w:r w:rsidR="006B644B">
        <w:t>s</w:t>
      </w:r>
      <w:r>
        <w:t xml:space="preserve"> </w:t>
      </w:r>
      <w:r w:rsidR="002E57F2">
        <w:t>involving</w:t>
      </w:r>
      <w:r w:rsidR="00057628">
        <w:t xml:space="preserve"> </w:t>
      </w:r>
      <w:r w:rsidR="00FC5472">
        <w:t>inconsistent</w:t>
      </w:r>
      <w:r w:rsidR="00057628">
        <w:t xml:space="preserve"> validity rulings </w:t>
      </w:r>
      <w:r w:rsidR="00057628">
        <w:rPr>
          <w:i/>
        </w:rPr>
        <w:t>by two courts</w:t>
      </w:r>
      <w:r w:rsidR="00057628">
        <w:t xml:space="preserve">.  </w:t>
      </w:r>
      <w:r>
        <w:t xml:space="preserve">For instance, </w:t>
      </w:r>
      <w:r>
        <w:lastRenderedPageBreak/>
        <w:t xml:space="preserve">the Federal Circuit in </w:t>
      </w:r>
      <w:r>
        <w:rPr>
          <w:i/>
        </w:rPr>
        <w:t>Fresenius</w:t>
      </w:r>
      <w:r>
        <w:t xml:space="preserve"> analogized to its prior decision in </w:t>
      </w:r>
      <w:r w:rsidR="00172318" w:rsidRPr="000B1CED">
        <w:rPr>
          <w:i/>
        </w:rPr>
        <w:t>Mendenhall v. Barber-Greene Co</w:t>
      </w:r>
      <w:r w:rsidR="00172318">
        <w:rPr>
          <w:i/>
        </w:rPr>
        <w:t>.</w:t>
      </w:r>
      <w:r w:rsidRPr="005F294E">
        <w:rPr>
          <w:rStyle w:val="FootnoteReference"/>
        </w:rPr>
        <w:footnoteReference w:id="271"/>
      </w:r>
      <w:r>
        <w:rPr>
          <w:i/>
        </w:rPr>
        <w:t xml:space="preserve">  </w:t>
      </w:r>
      <w:r>
        <w:t xml:space="preserve">In </w:t>
      </w:r>
      <w:r w:rsidR="0058236C" w:rsidRPr="0058236C">
        <w:rPr>
          <w:i/>
        </w:rPr>
        <w:t>Mendenhall</w:t>
      </w:r>
      <w:r>
        <w:t xml:space="preserve">, the Federal Circuit </w:t>
      </w:r>
      <w:r w:rsidR="009E209B">
        <w:t>held</w:t>
      </w:r>
      <w:r>
        <w:t xml:space="preserve"> that a </w:t>
      </w:r>
      <w:r w:rsidR="00660F3D">
        <w:t>jury verdict</w:t>
      </w:r>
      <w:r>
        <w:t xml:space="preserve"> of patent invalidity was entitled to </w:t>
      </w:r>
      <w:r w:rsidR="004B1694">
        <w:t xml:space="preserve">issue </w:t>
      </w:r>
      <w:r>
        <w:t xml:space="preserve">preclusive effect in another pending </w:t>
      </w:r>
      <w:r w:rsidR="0006165E">
        <w:t xml:space="preserve">court </w:t>
      </w:r>
      <w:r>
        <w:t xml:space="preserve">case, even though, in that </w:t>
      </w:r>
      <w:r w:rsidR="009E209B">
        <w:t xml:space="preserve">pending </w:t>
      </w:r>
      <w:r>
        <w:t xml:space="preserve">case, the Federal Circuit had already affirmed </w:t>
      </w:r>
      <w:r w:rsidR="004A066B">
        <w:t>a</w:t>
      </w:r>
      <w:r w:rsidR="00660F3D">
        <w:t xml:space="preserve"> judge’s</w:t>
      </w:r>
      <w:r>
        <w:t xml:space="preserve"> validity decision favoring the patent holder</w:t>
      </w:r>
      <w:r w:rsidR="004A066B">
        <w:t>, entered after a bench trial</w:t>
      </w:r>
      <w:r>
        <w:t>.</w:t>
      </w:r>
      <w:r>
        <w:rPr>
          <w:rStyle w:val="FootnoteReference"/>
        </w:rPr>
        <w:footnoteReference w:id="272"/>
      </w:r>
      <w:r w:rsidR="00A775C4">
        <w:t xml:space="preserve">  (To justify its </w:t>
      </w:r>
      <w:r w:rsidR="00660F3D">
        <w:t>own conflicting rulings, the Federal Circuit emphasized the deferential standard of appellate review for findings of fact and the different identities of the fact finders in the two cases.</w:t>
      </w:r>
      <w:r w:rsidR="00660F3D">
        <w:rPr>
          <w:rStyle w:val="FootnoteReference"/>
        </w:rPr>
        <w:footnoteReference w:id="273"/>
      </w:r>
      <w:r w:rsidR="00660F3D">
        <w:t xml:space="preserve">) </w:t>
      </w:r>
      <w:r>
        <w:t xml:space="preserve"> </w:t>
      </w:r>
      <w:r w:rsidR="00172318">
        <w:t xml:space="preserve">The Federal Circuit in </w:t>
      </w:r>
      <w:r w:rsidR="00172318">
        <w:rPr>
          <w:i/>
        </w:rPr>
        <w:t>Mendenhall</w:t>
      </w:r>
      <w:r w:rsidR="00172318">
        <w:t xml:space="preserve">, as in </w:t>
      </w:r>
      <w:r w:rsidR="00172318">
        <w:rPr>
          <w:i/>
        </w:rPr>
        <w:t>Fresenius</w:t>
      </w:r>
      <w:r w:rsidR="00172318">
        <w:t xml:space="preserve">, reasoned that there was no “final judgment” in the </w:t>
      </w:r>
      <w:r w:rsidR="009E209B">
        <w:t>pending</w:t>
      </w:r>
      <w:r w:rsidR="00172318">
        <w:t xml:space="preserve"> case </w:t>
      </w:r>
      <w:r w:rsidR="00214346">
        <w:t xml:space="preserve">in which the judge had ruled in the patent holder’s favor on the issue of validity </w:t>
      </w:r>
      <w:r w:rsidR="00172318">
        <w:t>becaus</w:t>
      </w:r>
      <w:r w:rsidR="009E209B">
        <w:t xml:space="preserve">e, despite the </w:t>
      </w:r>
      <w:r w:rsidR="0006165E">
        <w:t>Federal Circuit’s</w:t>
      </w:r>
      <w:r w:rsidR="009E209B">
        <w:t xml:space="preserve"> </w:t>
      </w:r>
      <w:r w:rsidR="00E43EAD">
        <w:t xml:space="preserve">previous </w:t>
      </w:r>
      <w:r w:rsidR="009E209B">
        <w:t xml:space="preserve">affirmance on validity, </w:t>
      </w:r>
      <w:r w:rsidR="00172318">
        <w:t>there were matters related to damages still to be resolved.</w:t>
      </w:r>
      <w:r w:rsidR="00172318">
        <w:rPr>
          <w:rStyle w:val="FootnoteReference"/>
        </w:rPr>
        <w:footnoteReference w:id="274"/>
      </w:r>
      <w:r w:rsidR="00172318">
        <w:t xml:space="preserve"> </w:t>
      </w:r>
    </w:p>
    <w:p w14:paraId="5E3D81F1" w14:textId="2A768769" w:rsidR="004B1694" w:rsidRDefault="004B1694" w:rsidP="004B1694">
      <w:pPr>
        <w:tabs>
          <w:tab w:val="left" w:pos="360"/>
        </w:tabs>
        <w:jc w:val="both"/>
      </w:pPr>
      <w:r>
        <w:t xml:space="preserve">The requirements of issue preclusion were clearly met in </w:t>
      </w:r>
      <w:r>
        <w:rPr>
          <w:i/>
        </w:rPr>
        <w:t>Mendenhall</w:t>
      </w:r>
      <w:r>
        <w:t>:  the conte</w:t>
      </w:r>
      <w:r w:rsidR="0058236C">
        <w:t xml:space="preserve">sted issue in both proceedings (patent validity) </w:t>
      </w:r>
      <w:r>
        <w:t xml:space="preserve">was identical, and the patent holder had a full and fair opportunity to litigate that issue </w:t>
      </w:r>
      <w:r w:rsidR="00E43EAD">
        <w:t>in the case finding the patent to be invalid</w:t>
      </w:r>
      <w:r>
        <w:t>.</w:t>
      </w:r>
      <w:r>
        <w:rPr>
          <w:rStyle w:val="FootnoteReference"/>
        </w:rPr>
        <w:footnoteReference w:id="275"/>
      </w:r>
      <w:r>
        <w:t xml:space="preserve">  In cases involving concurrent proceedings in the courts and at the PTO, by contrast, a critical element of issue preclusion is missing because the PTO applies a </w:t>
      </w:r>
      <w:r w:rsidR="009E209B">
        <w:t>lower</w:t>
      </w:r>
      <w:r>
        <w:t xml:space="preserve"> standard of proof than the courts on the question of patent validity.  The </w:t>
      </w:r>
      <w:r>
        <w:rPr>
          <w:i/>
        </w:rPr>
        <w:t>Restatement (Second) of Judgments</w:t>
      </w:r>
      <w:r>
        <w:t xml:space="preserve">, for instance, </w:t>
      </w:r>
      <w:r w:rsidR="00183788">
        <w:t>flatly states</w:t>
      </w:r>
      <w:r>
        <w:t xml:space="preserve"> that preclusion is not appropriate </w:t>
      </w:r>
      <w:r w:rsidR="00183788">
        <w:t>when</w:t>
      </w:r>
      <w:r>
        <w:t xml:space="preserve"> the party seeking to invoke preclusion “has a significantly heavier burden than he had in the </w:t>
      </w:r>
      <w:r w:rsidR="007A395A">
        <w:t>[prior]</w:t>
      </w:r>
      <w:r>
        <w:t xml:space="preserve"> action,”</w:t>
      </w:r>
      <w:r>
        <w:rPr>
          <w:rStyle w:val="FootnoteReference"/>
        </w:rPr>
        <w:footnoteReference w:id="276"/>
      </w:r>
      <w:r>
        <w:t xml:space="preserve"> which is</w:t>
      </w:r>
      <w:r w:rsidR="00773EF7">
        <w:t xml:space="preserve"> precisely</w:t>
      </w:r>
      <w:r>
        <w:t xml:space="preserve"> the case when an accused infringer seeks to rely on an invalidity determinat</w:t>
      </w:r>
      <w:r w:rsidR="009E209B">
        <w:t xml:space="preserve">ion by the PTO under the </w:t>
      </w:r>
      <w:r>
        <w:t>preponderance of the evidence standard in court, where the accused infringer must prove invalidity by clear and convincing evidence.</w:t>
      </w:r>
      <w:r w:rsidR="00183788">
        <w:t xml:space="preserve">  </w:t>
      </w:r>
      <w:r>
        <w:t>The Federal Circuit has recognized that failure to carry the clear and convincing standard in court does not preclude a later challenge to validity at the PTO due to the lower burden of proof at the PTO.</w:t>
      </w:r>
      <w:r>
        <w:rPr>
          <w:rStyle w:val="FootnoteReference"/>
        </w:rPr>
        <w:footnoteReference w:id="277"/>
      </w:r>
      <w:r>
        <w:t xml:space="preserve">  </w:t>
      </w:r>
      <w:r w:rsidR="00773EF7">
        <w:t xml:space="preserve">But </w:t>
      </w:r>
      <w:r w:rsidR="007F4EA5">
        <w:t>i</w:t>
      </w:r>
      <w:r>
        <w:t xml:space="preserve">n cases such as </w:t>
      </w:r>
      <w:r>
        <w:rPr>
          <w:i/>
        </w:rPr>
        <w:t>Fresenius</w:t>
      </w:r>
      <w:r>
        <w:t xml:space="preserve">, the court has not recognized the corollary to </w:t>
      </w:r>
      <w:r w:rsidR="007F4EA5">
        <w:t>that princi</w:t>
      </w:r>
      <w:r w:rsidR="0058236C">
        <w:t xml:space="preserve">ple:  A </w:t>
      </w:r>
      <w:r w:rsidR="0058236C">
        <w:lastRenderedPageBreak/>
        <w:t>P</w:t>
      </w:r>
      <w:r w:rsidR="007F4EA5">
        <w:t xml:space="preserve">TO </w:t>
      </w:r>
      <w:r>
        <w:t xml:space="preserve">ruling finding </w:t>
      </w:r>
      <w:r w:rsidRPr="00A04AF3">
        <w:rPr>
          <w:i/>
        </w:rPr>
        <w:t>in</w:t>
      </w:r>
      <w:r>
        <w:t>validity by a preponderance of the evidence does not</w:t>
      </w:r>
      <w:r w:rsidR="0058236C">
        <w:t>—as a matter of preclusion law—</w:t>
      </w:r>
      <w:r w:rsidR="007F4EA5">
        <w:t>b</w:t>
      </w:r>
      <w:r>
        <w:t xml:space="preserve">ind the patent holder in a latter court proceeding </w:t>
      </w:r>
      <w:r w:rsidR="007F4EA5">
        <w:t>requiring</w:t>
      </w:r>
      <w:r>
        <w:t xml:space="preserve"> clear and convincing evidence.</w:t>
      </w:r>
    </w:p>
    <w:p w14:paraId="08C50086" w14:textId="33ABECC4" w:rsidR="004B1694" w:rsidRDefault="00890AFE" w:rsidP="004B1694">
      <w:pPr>
        <w:tabs>
          <w:tab w:val="left" w:pos="360"/>
        </w:tabs>
        <w:jc w:val="both"/>
      </w:pPr>
      <w:r>
        <w:t>E</w:t>
      </w:r>
      <w:r w:rsidR="004B1694" w:rsidRPr="00EB5E90">
        <w:t>ven if</w:t>
      </w:r>
      <w:r w:rsidR="004B1694">
        <w:t xml:space="preserve"> the requirements of issue preclusion are not satisfied, </w:t>
      </w:r>
      <w:r>
        <w:t xml:space="preserve">however, </w:t>
      </w:r>
      <w:r w:rsidR="004B1694">
        <w:t xml:space="preserve">no one disputes that, as a general matter, </w:t>
      </w:r>
      <w:r w:rsidR="00D57912">
        <w:t xml:space="preserve">the </w:t>
      </w:r>
      <w:r w:rsidR="004B1694">
        <w:t>PTO</w:t>
      </w:r>
      <w:r w:rsidR="00D57912">
        <w:t>’s decision to invalidate a patent</w:t>
      </w:r>
      <w:r w:rsidR="004B1694">
        <w:t xml:space="preserve"> prohibit</w:t>
      </w:r>
      <w:r w:rsidR="00D57912">
        <w:t>s</w:t>
      </w:r>
      <w:r w:rsidR="004B1694">
        <w:t xml:space="preserve"> the patent holder from pursuing claims of infringement in the future.</w:t>
      </w:r>
      <w:r w:rsidR="004B1694">
        <w:rPr>
          <w:rStyle w:val="FootnoteReference"/>
        </w:rPr>
        <w:footnoteReference w:id="278"/>
      </w:r>
      <w:r w:rsidR="004B1694">
        <w:t xml:space="preserve">  </w:t>
      </w:r>
      <w:r>
        <w:t>But t</w:t>
      </w:r>
      <w:r w:rsidR="00AC6058">
        <w:t xml:space="preserve">hat prohibition does not arise from </w:t>
      </w:r>
      <w:r w:rsidR="001937A4">
        <w:t xml:space="preserve">the </w:t>
      </w:r>
      <w:r w:rsidR="004B1694">
        <w:t>common law doctrines of preclusion</w:t>
      </w:r>
      <w:r w:rsidR="001937A4">
        <w:t xml:space="preserve"> at issue in </w:t>
      </w:r>
      <w:r w:rsidR="001937A4">
        <w:rPr>
          <w:i/>
        </w:rPr>
        <w:t>Mendenhall</w:t>
      </w:r>
      <w:r w:rsidR="00FB30F3">
        <w:t xml:space="preserve">.  </w:t>
      </w:r>
      <w:r w:rsidR="00AC6058">
        <w:t>Rather</w:t>
      </w:r>
      <w:r w:rsidR="00FB30F3">
        <w:t xml:space="preserve">, </w:t>
      </w:r>
      <w:r w:rsidR="004B1694" w:rsidRPr="008571C8">
        <w:t>under the statutes authorizing post-issuance review, the PTO</w:t>
      </w:r>
      <w:r w:rsidR="004B1694">
        <w:t xml:space="preserve">, once it concludes that a claim is </w:t>
      </w:r>
      <w:proofErr w:type="spellStart"/>
      <w:r w:rsidR="004B1694">
        <w:t>unpatentable</w:t>
      </w:r>
      <w:proofErr w:type="spellEnd"/>
      <w:r w:rsidR="004B1694">
        <w:t xml:space="preserve"> and proceedings have concluded,</w:t>
      </w:r>
      <w:r>
        <w:t xml:space="preserve"> issues a cancel</w:t>
      </w:r>
      <w:r w:rsidR="004B1694" w:rsidRPr="008571C8">
        <w:t xml:space="preserve">ation </w:t>
      </w:r>
      <w:r w:rsidR="004B1694">
        <w:t>certificate</w:t>
      </w:r>
      <w:r w:rsidR="004B1694" w:rsidRPr="008571C8">
        <w:t xml:space="preserve"> that </w:t>
      </w:r>
      <w:r w:rsidR="004B1694">
        <w:t>has the legal effect of rescinding</w:t>
      </w:r>
      <w:r w:rsidR="004B1694" w:rsidRPr="008571C8">
        <w:t xml:space="preserve"> the relevant patent rights.</w:t>
      </w:r>
      <w:bookmarkStart w:id="39" w:name="_Ref300404373"/>
      <w:r w:rsidR="004B1694" w:rsidRPr="008571C8">
        <w:rPr>
          <w:rStyle w:val="FootnoteReference"/>
        </w:rPr>
        <w:footnoteReference w:id="279"/>
      </w:r>
      <w:bookmarkEnd w:id="39"/>
      <w:r w:rsidR="004B1694">
        <w:t xml:space="preserve">  </w:t>
      </w:r>
      <w:r>
        <w:t>It is that act of cancel</w:t>
      </w:r>
      <w:r w:rsidR="00D57912">
        <w:t>ation—not issue preclusion doctrine—that bars the claim of infringement.</w:t>
      </w:r>
      <w:r w:rsidR="001937A4">
        <w:t xml:space="preserve">  Thus, </w:t>
      </w:r>
      <w:r w:rsidR="001937A4">
        <w:rPr>
          <w:i/>
        </w:rPr>
        <w:t>Mendenhall</w:t>
      </w:r>
      <w:r w:rsidR="001937A4">
        <w:t xml:space="preserve">, which approves of issue preclusion in parallel court proceedings, does not resolve </w:t>
      </w:r>
      <w:r w:rsidR="00E42459">
        <w:t xml:space="preserve">the key question in a case such as </w:t>
      </w:r>
      <w:r w:rsidR="00E42459">
        <w:rPr>
          <w:i/>
        </w:rPr>
        <w:t>Fresenius</w:t>
      </w:r>
      <w:r w:rsidR="00E42459">
        <w:t>:  Does the PTO’s issuance of a cancelation certificate mean that courts must vacate their definitive decisions on validity, infringement, and damages?</w:t>
      </w:r>
      <w:r w:rsidR="001937A4">
        <w:t xml:space="preserve">  </w:t>
      </w:r>
    </w:p>
    <w:p w14:paraId="0C0DCED9" w14:textId="538E74E0" w:rsidR="004B1694" w:rsidRDefault="004B1694" w:rsidP="004B1694">
      <w:pPr>
        <w:tabs>
          <w:tab w:val="left" w:pos="360"/>
        </w:tabs>
        <w:jc w:val="both"/>
      </w:pPr>
      <w:r>
        <w:t xml:space="preserve">The Federal Circuit in </w:t>
      </w:r>
      <w:r>
        <w:rPr>
          <w:i/>
        </w:rPr>
        <w:t>Fresenius</w:t>
      </w:r>
      <w:r w:rsidR="00890AFE">
        <w:t>, although it drew on</w:t>
      </w:r>
      <w:r w:rsidR="001937A4">
        <w:t xml:space="preserve"> </w:t>
      </w:r>
      <w:r w:rsidR="001937A4">
        <w:rPr>
          <w:i/>
        </w:rPr>
        <w:t>Mendenhall</w:t>
      </w:r>
      <w:r w:rsidR="001937A4">
        <w:t xml:space="preserve"> and the common law of</w:t>
      </w:r>
      <w:r w:rsidR="00890AFE">
        <w:t xml:space="preserve"> preclusion as the basis for the absolute finality rule,</w:t>
      </w:r>
      <w:r>
        <w:t xml:space="preserve"> </w:t>
      </w:r>
      <w:r w:rsidR="00D57912">
        <w:t>acknowledge</w:t>
      </w:r>
      <w:r w:rsidR="00DF717E">
        <w:t>d</w:t>
      </w:r>
      <w:r w:rsidR="00D57912">
        <w:t xml:space="preserve"> the import</w:t>
      </w:r>
      <w:r w:rsidR="00890AFE">
        <w:t>ance of the PTO’s act of cancel</w:t>
      </w:r>
      <w:r w:rsidR="00D57912">
        <w:t>ation</w:t>
      </w:r>
      <w:r w:rsidR="002E57F2">
        <w:t xml:space="preserve">, noting </w:t>
      </w:r>
      <w:r>
        <w:t xml:space="preserve">that </w:t>
      </w:r>
      <w:r w:rsidR="00D57912">
        <w:t>it</w:t>
      </w:r>
      <w:r>
        <w:t xml:space="preserve"> “</w:t>
      </w:r>
      <w:r w:rsidRPr="008571C8">
        <w:t>extinguishes the underlying basi</w:t>
      </w:r>
      <w:r>
        <w:t>s for suits based on the patent” and that, therefore, any pending suit must be dismissed.</w:t>
      </w:r>
      <w:r>
        <w:rPr>
          <w:rStyle w:val="FootnoteReference"/>
        </w:rPr>
        <w:footnoteReference w:id="280"/>
      </w:r>
      <w:r>
        <w:t xml:space="preserve">  To support </w:t>
      </w:r>
      <w:r w:rsidR="0058236C">
        <w:t>the notion that pending suits must be dismissed</w:t>
      </w:r>
      <w:r>
        <w:t xml:space="preserve">, the </w:t>
      </w:r>
      <w:r w:rsidR="0058236C">
        <w:t>Federal Circuit</w:t>
      </w:r>
      <w:r>
        <w:t xml:space="preserve"> </w:t>
      </w:r>
      <w:r w:rsidR="001A0431">
        <w:t>cited</w:t>
      </w:r>
      <w:r>
        <w:t xml:space="preserve"> the Supreme Court’s 1861 decision in </w:t>
      </w:r>
      <w:r>
        <w:rPr>
          <w:i/>
        </w:rPr>
        <w:t>Moffitt v. Garr</w:t>
      </w:r>
      <w:r w:rsidR="002263B2">
        <w:t>, which held that the plaintiff’s su</w:t>
      </w:r>
      <w:r w:rsidR="00AC6058">
        <w:t>rrender of a patent to the PTO required dismissal of a pending suit for infringement.</w:t>
      </w:r>
      <w:r w:rsidR="002263B2">
        <w:rPr>
          <w:rStyle w:val="FootnoteReference"/>
        </w:rPr>
        <w:footnoteReference w:id="281"/>
      </w:r>
      <w:r w:rsidR="00655B3F">
        <w:t xml:space="preserve">  The Court in </w:t>
      </w:r>
      <w:r w:rsidR="00655B3F">
        <w:rPr>
          <w:i/>
        </w:rPr>
        <w:t>Moffitt</w:t>
      </w:r>
      <w:r w:rsidR="00655B3F">
        <w:t xml:space="preserve"> note</w:t>
      </w:r>
      <w:r w:rsidR="00E42459">
        <w:t>d</w:t>
      </w:r>
      <w:r w:rsidR="00655B3F">
        <w:t xml:space="preserve"> that patent infringement suits “</w:t>
      </w:r>
      <w:r w:rsidR="00655B3F" w:rsidRPr="00655B3F">
        <w:t xml:space="preserve">depend upon the patent existing at the time they were commenced, and unless it exists, and is in force at the time of trial </w:t>
      </w:r>
      <w:r w:rsidR="00655B3F" w:rsidRPr="00E42459">
        <w:t>and judgment</w:t>
      </w:r>
      <w:r w:rsidR="00655B3F" w:rsidRPr="00655B3F">
        <w:t>, the suits fail</w:t>
      </w:r>
      <w:r w:rsidR="00655B3F">
        <w:t>.”</w:t>
      </w:r>
      <w:r w:rsidR="00655B3F">
        <w:rPr>
          <w:rStyle w:val="FootnoteReference"/>
        </w:rPr>
        <w:footnoteReference w:id="282"/>
      </w:r>
      <w:r w:rsidR="00E42459">
        <w:t xml:space="preserve">  T</w:t>
      </w:r>
      <w:r w:rsidR="00655B3F">
        <w:t xml:space="preserve">his </w:t>
      </w:r>
      <w:r w:rsidR="00E42459">
        <w:t>statement suggesting that the patent must be in force at the time of judgment</w:t>
      </w:r>
      <w:r w:rsidR="00655B3F">
        <w:t xml:space="preserve"> is perhaps the best support for the absolute finality rule that can be found in Supreme Court case law.  Yet </w:t>
      </w:r>
      <w:r w:rsidR="00E42459">
        <w:t>the statement</w:t>
      </w:r>
      <w:r w:rsidR="00655B3F">
        <w:t xml:space="preserve"> is clear</w:t>
      </w:r>
      <w:r w:rsidR="00E42459">
        <w:t>ly</w:t>
      </w:r>
      <w:r w:rsidR="00655B3F">
        <w:t xml:space="preserve"> dicta, </w:t>
      </w:r>
      <w:r w:rsidR="00E42459">
        <w:t>for</w:t>
      </w:r>
      <w:r w:rsidR="00655B3F">
        <w:t xml:space="preserve"> the </w:t>
      </w:r>
      <w:r w:rsidR="00655B3F">
        <w:rPr>
          <w:i/>
        </w:rPr>
        <w:t>Moffitt</w:t>
      </w:r>
      <w:r w:rsidR="00655B3F">
        <w:t xml:space="preserve"> case had not reached </w:t>
      </w:r>
      <w:r w:rsidR="00E42459">
        <w:t xml:space="preserve">yet </w:t>
      </w:r>
      <w:r w:rsidR="00655B3F">
        <w:t>a judgment at the time the patent holder surrendered the patent.</w:t>
      </w:r>
      <w:r w:rsidR="00655B3F">
        <w:rPr>
          <w:rStyle w:val="FootnoteReference"/>
        </w:rPr>
        <w:footnoteReference w:id="283"/>
      </w:r>
      <w:r w:rsidR="00E42459">
        <w:t xml:space="preserve">  Rather, the patent holder surrendered his patent less than two months after commencing the suit.</w:t>
      </w:r>
      <w:r w:rsidR="00E42459">
        <w:rPr>
          <w:rStyle w:val="FootnoteReference"/>
        </w:rPr>
        <w:footnoteReference w:id="284"/>
      </w:r>
      <w:r w:rsidR="00E42459">
        <w:t xml:space="preserve">  </w:t>
      </w:r>
      <w:r w:rsidR="00F37C9A">
        <w:t xml:space="preserve">In </w:t>
      </w:r>
      <w:r w:rsidR="00F37C9A">
        <w:lastRenderedPageBreak/>
        <w:t xml:space="preserve">short, </w:t>
      </w:r>
      <w:r w:rsidR="00F37C9A">
        <w:rPr>
          <w:i/>
        </w:rPr>
        <w:t>Moffitt</w:t>
      </w:r>
      <w:r w:rsidR="00F37C9A">
        <w:t xml:space="preserve"> </w:t>
      </w:r>
      <w:r w:rsidR="00E42459">
        <w:t xml:space="preserve">also </w:t>
      </w:r>
      <w:r w:rsidR="00D57912">
        <w:t xml:space="preserve">does not </w:t>
      </w:r>
      <w:r w:rsidR="00E42459">
        <w:t>definitively answer</w:t>
      </w:r>
      <w:r>
        <w:t xml:space="preserve"> the question </w:t>
      </w:r>
      <w:r w:rsidR="00E42459">
        <w:t xml:space="preserve">of </w:t>
      </w:r>
      <w:r w:rsidR="00F37C9A">
        <w:t xml:space="preserve">whether </w:t>
      </w:r>
      <w:r>
        <w:t xml:space="preserve">the PTO’s </w:t>
      </w:r>
      <w:r w:rsidR="002366D1">
        <w:t>invalidation</w:t>
      </w:r>
      <w:r>
        <w:t xml:space="preserve"> </w:t>
      </w:r>
      <w:r w:rsidR="00AC6058">
        <w:t xml:space="preserve">of a patent </w:t>
      </w:r>
      <w:r>
        <w:t>mandate</w:t>
      </w:r>
      <w:r w:rsidR="00E42459">
        <w:t>s</w:t>
      </w:r>
      <w:r>
        <w:t xml:space="preserve"> dismissal </w:t>
      </w:r>
      <w:r w:rsidRPr="00A13A28">
        <w:t>when the court</w:t>
      </w:r>
      <w:r>
        <w:t xml:space="preserve"> </w:t>
      </w:r>
      <w:r w:rsidR="00D57912">
        <w:rPr>
          <w:i/>
        </w:rPr>
        <w:t xml:space="preserve">has already </w:t>
      </w:r>
      <w:r w:rsidRPr="00BE2650">
        <w:rPr>
          <w:i/>
        </w:rPr>
        <w:t xml:space="preserve">resolved </w:t>
      </w:r>
      <w:r w:rsidRPr="00A13A28">
        <w:t>the issues of validity and infringement</w:t>
      </w:r>
      <w:r w:rsidR="00E42459">
        <w:t>.</w:t>
      </w:r>
      <w:r>
        <w:t xml:space="preserve"> </w:t>
      </w:r>
    </w:p>
    <w:p w14:paraId="288F9473" w14:textId="311D5D77" w:rsidR="00172318" w:rsidRPr="00B81ADF" w:rsidRDefault="002366D1" w:rsidP="00172318">
      <w:pPr>
        <w:tabs>
          <w:tab w:val="left" w:pos="360"/>
          <w:tab w:val="left" w:pos="3870"/>
        </w:tabs>
        <w:jc w:val="both"/>
      </w:pPr>
      <w:r>
        <w:t>In answering that question, t</w:t>
      </w:r>
      <w:r w:rsidR="00172318">
        <w:t xml:space="preserve">he Federal Circuit </w:t>
      </w:r>
      <w:r w:rsidR="00DF717E">
        <w:t>has</w:t>
      </w:r>
      <w:r w:rsidR="00172318">
        <w:t xml:space="preserve"> </w:t>
      </w:r>
      <w:r w:rsidR="00007A0C">
        <w:t xml:space="preserve">also </w:t>
      </w:r>
      <w:r w:rsidR="00172318">
        <w:t xml:space="preserve">analogized to the Supreme Court’s 1922 decision in </w:t>
      </w:r>
      <w:r w:rsidR="00172318">
        <w:rPr>
          <w:i/>
        </w:rPr>
        <w:t>Simmons Co. v. Grier Bros.</w:t>
      </w:r>
      <w:bookmarkStart w:id="40" w:name="_Ref433644462"/>
      <w:r w:rsidR="00A13A28" w:rsidRPr="004721D0">
        <w:rPr>
          <w:rStyle w:val="FootnoteReference"/>
        </w:rPr>
        <w:footnoteReference w:id="285"/>
      </w:r>
      <w:bookmarkEnd w:id="40"/>
      <w:r w:rsidR="00A13A28">
        <w:rPr>
          <w:i/>
        </w:rPr>
        <w:t xml:space="preserve"> </w:t>
      </w:r>
      <w:r>
        <w:t xml:space="preserve">but that analogy </w:t>
      </w:r>
      <w:r w:rsidR="00DF717E">
        <w:t xml:space="preserve">is </w:t>
      </w:r>
      <w:r>
        <w:t xml:space="preserve">likewise </w:t>
      </w:r>
      <w:r w:rsidR="00DF717E">
        <w:t>unavailing</w:t>
      </w:r>
      <w:r w:rsidR="009175FB">
        <w:t xml:space="preserve"> because of numerous changes in patent law, appellate procedure, and preclusion law over the past one hundred years</w:t>
      </w:r>
      <w:r w:rsidR="00DF717E">
        <w:t>.</w:t>
      </w:r>
      <w:r w:rsidR="00A13A28">
        <w:t xml:space="preserve"> </w:t>
      </w:r>
      <w:r w:rsidR="00172318">
        <w:t xml:space="preserve"> In </w:t>
      </w:r>
      <w:r w:rsidR="00172318">
        <w:rPr>
          <w:i/>
        </w:rPr>
        <w:t>Simmons</w:t>
      </w:r>
      <w:r w:rsidR="00172318">
        <w:t>, the Third Circuit, in an appeal from an infringement case in the Western District of Pennsylvania, held a patent owned by Simmons to be invalid.</w:t>
      </w:r>
      <w:r w:rsidR="00172318">
        <w:rPr>
          <w:rStyle w:val="FootnoteReference"/>
        </w:rPr>
        <w:footnoteReference w:id="286"/>
      </w:r>
      <w:r w:rsidR="00007A0C">
        <w:t xml:space="preserve"> </w:t>
      </w:r>
      <w:r w:rsidR="00172318">
        <w:t xml:space="preserve"> But the Supreme Court, in an appeal from a subsequent infringement case filed by Simmons in the Southern District of New York, </w:t>
      </w:r>
      <w:r w:rsidR="0058236C">
        <w:t>rejected the defendant’s challenge to patent validity and held the patent to be infringed</w:t>
      </w:r>
      <w:r w:rsidR="00172318">
        <w:t>.</w:t>
      </w:r>
      <w:r w:rsidR="00172318">
        <w:rPr>
          <w:rStyle w:val="FootnoteReference"/>
        </w:rPr>
        <w:footnoteReference w:id="287"/>
      </w:r>
      <w:r w:rsidR="00172318">
        <w:t xml:space="preserve">  After that Supreme Court decision, Simmons sought to reopen infringement proceedings in Pennsylvania.</w:t>
      </w:r>
      <w:r w:rsidR="00172318">
        <w:rPr>
          <w:rStyle w:val="FootnoteReference"/>
        </w:rPr>
        <w:footnoteReference w:id="288"/>
      </w:r>
      <w:r w:rsidR="00172318">
        <w:t xml:space="preserve">  The Third Circuit held that Simmons could not reopen the proceedings, but the Supreme Court reversed.</w:t>
      </w:r>
      <w:r w:rsidR="00172318">
        <w:rPr>
          <w:rStyle w:val="FootnoteReference"/>
        </w:rPr>
        <w:footnoteReference w:id="289"/>
      </w:r>
      <w:r w:rsidR="00172318">
        <w:t xml:space="preserve">  The Court emphasized that the Third Circuit’s original holding of invalidity “did not bring the suit to a conclusion” because a special master had yet to calculate damages on an unfair competition claim that Simmons had joined wit</w:t>
      </w:r>
      <w:r w:rsidR="004B1694">
        <w:t>h its patent infringement claim</w:t>
      </w:r>
      <w:r w:rsidR="00007A0C">
        <w:t>, noting that</w:t>
      </w:r>
      <w:r w:rsidR="004B1694" w:rsidRPr="004B1694">
        <w:t xml:space="preserve"> </w:t>
      </w:r>
      <w:r w:rsidR="004B1694">
        <w:t>“th</w:t>
      </w:r>
      <w:r w:rsidR="004B1694" w:rsidRPr="00AB7AF4">
        <w:t>ere can be but one final decree in a suit in equity</w:t>
      </w:r>
      <w:r w:rsidR="004B1694">
        <w:t>.”</w:t>
      </w:r>
      <w:r w:rsidR="004B1694">
        <w:rPr>
          <w:rStyle w:val="FootnoteReference"/>
        </w:rPr>
        <w:footnoteReference w:id="290"/>
      </w:r>
      <w:r w:rsidR="004B1694">
        <w:t xml:space="preserve"> </w:t>
      </w:r>
    </w:p>
    <w:p w14:paraId="31D27CD3" w14:textId="3DE16C66" w:rsidR="00A13A28" w:rsidRDefault="001A0431" w:rsidP="002263B2">
      <w:pPr>
        <w:tabs>
          <w:tab w:val="left" w:pos="360"/>
        </w:tabs>
        <w:jc w:val="both"/>
      </w:pPr>
      <w:r>
        <w:t>I</w:t>
      </w:r>
      <w:r w:rsidR="00D57912">
        <w:t xml:space="preserve">t is a stretch to claim, as the Federal Circuit </w:t>
      </w:r>
      <w:r w:rsidR="00A56C1D">
        <w:t xml:space="preserve">has, that </w:t>
      </w:r>
      <w:r w:rsidR="00A56C1D">
        <w:rPr>
          <w:i/>
        </w:rPr>
        <w:t>Simmons</w:t>
      </w:r>
      <w:r w:rsidR="00A56C1D">
        <w:t xml:space="preserve"> is controlling in modern cases involving inconsistent validity decisions by a court and the PTO.</w:t>
      </w:r>
      <w:r w:rsidR="00A56C1D">
        <w:rPr>
          <w:rStyle w:val="FootnoteReference"/>
        </w:rPr>
        <w:footnoteReference w:id="291"/>
      </w:r>
      <w:r w:rsidR="00DF717E">
        <w:t xml:space="preserve">  To begin with, </w:t>
      </w:r>
      <w:r w:rsidR="00251402">
        <w:t xml:space="preserve">claims seeking damages for patent infringement </w:t>
      </w:r>
      <w:r w:rsidR="00B30592">
        <w:t>no longer</w:t>
      </w:r>
      <w:r w:rsidR="00251402">
        <w:t xml:space="preserve"> proceed in equity, and </w:t>
      </w:r>
      <w:r w:rsidR="00B30592">
        <w:t xml:space="preserve">today </w:t>
      </w:r>
      <w:r w:rsidR="00DF717E">
        <w:t>it is no</w:t>
      </w:r>
      <w:r w:rsidR="00B30592">
        <w:t>t</w:t>
      </w:r>
      <w:r w:rsidR="00DF717E">
        <w:t xml:space="preserve"> unusual to have more than one “final” judgment in a case.  Federal Rule of Civil Procedure 54(b), </w:t>
      </w:r>
      <w:r w:rsidR="00214346">
        <w:t>mentioned above</w:t>
      </w:r>
      <w:r w:rsidR="00DF717E">
        <w:t xml:space="preserve">, </w:t>
      </w:r>
      <w:r w:rsidR="00007A0C">
        <w:t xml:space="preserve">allows a court to enter </w:t>
      </w:r>
      <w:r w:rsidR="00DF717E">
        <w:t>judgment on fewer than all of the claims in a case if there is no just reason for delay.</w:t>
      </w:r>
      <w:r w:rsidR="00DF717E">
        <w:rPr>
          <w:rStyle w:val="FootnoteReference"/>
        </w:rPr>
        <w:footnoteReference w:id="292"/>
      </w:r>
      <w:r w:rsidR="00DF717E">
        <w:t xml:space="preserve">  In patent cases specifically, 28 U.S.C. §</w:t>
      </w:r>
      <w:r w:rsidR="009175FB">
        <w:t> </w:t>
      </w:r>
      <w:r w:rsidR="00DF717E">
        <w:t xml:space="preserve">1292(c)(2) grants the Federal Circuit appellate jurisdiction over patent infringement </w:t>
      </w:r>
      <w:r w:rsidR="00DF717E">
        <w:lastRenderedPageBreak/>
        <w:t>judgments that are “final except for an accounting,”</w:t>
      </w:r>
      <w:r w:rsidR="00DF717E">
        <w:rPr>
          <w:rStyle w:val="FootnoteReference"/>
        </w:rPr>
        <w:footnoteReference w:id="293"/>
      </w:r>
      <w:r w:rsidR="00DF717E">
        <w:t xml:space="preserve"> meaning that, in those cases, there will essen</w:t>
      </w:r>
      <w:r w:rsidR="00007A0C">
        <w:t xml:space="preserve">tially be two final judgments, </w:t>
      </w:r>
      <w:r w:rsidR="00DF717E">
        <w:t>one determining liability for infringement and another setting the amount of damages.</w:t>
      </w:r>
      <w:r w:rsidR="00DF717E">
        <w:rPr>
          <w:rStyle w:val="FootnoteReference"/>
        </w:rPr>
        <w:footnoteReference w:id="294"/>
      </w:r>
      <w:r w:rsidR="00251402">
        <w:t xml:space="preserve">  </w:t>
      </w:r>
    </w:p>
    <w:p w14:paraId="70AF51B3" w14:textId="77777777" w:rsidR="00686686" w:rsidRDefault="00EA21BA" w:rsidP="002263B2">
      <w:pPr>
        <w:tabs>
          <w:tab w:val="left" w:pos="360"/>
        </w:tabs>
        <w:jc w:val="both"/>
      </w:pPr>
      <w:r>
        <w:t xml:space="preserve">Moreover, </w:t>
      </w:r>
      <w:r w:rsidR="00251402">
        <w:t xml:space="preserve">when </w:t>
      </w:r>
      <w:r>
        <w:t xml:space="preserve">the </w:t>
      </w:r>
      <w:r w:rsidR="00F83390">
        <w:t xml:space="preserve">Supreme </w:t>
      </w:r>
      <w:r>
        <w:t xml:space="preserve">Court decided </w:t>
      </w:r>
      <w:r>
        <w:rPr>
          <w:i/>
        </w:rPr>
        <w:t>Simmons</w:t>
      </w:r>
      <w:r>
        <w:t xml:space="preserve">, </w:t>
      </w:r>
      <w:r w:rsidR="00E43EAD">
        <w:t>decisions</w:t>
      </w:r>
      <w:r w:rsidR="00F83390">
        <w:t xml:space="preserve"> that did not fully resolve a case, such as the Third Circuit’s ruling of invalidity,</w:t>
      </w:r>
      <w:r w:rsidR="00E43EAD">
        <w:t xml:space="preserve"> were usually not entitled to preclusive effect</w:t>
      </w:r>
      <w:r w:rsidR="00F83390">
        <w:t xml:space="preserve"> until the case concluded</w:t>
      </w:r>
      <w:r>
        <w:t>.</w:t>
      </w:r>
      <w:r w:rsidR="00F83390">
        <w:rPr>
          <w:rStyle w:val="FootnoteReference"/>
        </w:rPr>
        <w:footnoteReference w:id="295"/>
      </w:r>
      <w:r w:rsidR="00F83390">
        <w:t xml:space="preserve">  The Court in </w:t>
      </w:r>
      <w:r w:rsidR="00F83390">
        <w:rPr>
          <w:i/>
        </w:rPr>
        <w:t>Simmons</w:t>
      </w:r>
      <w:r w:rsidR="00F83390">
        <w:t xml:space="preserve"> did not base its holding on preclusion doctrine, but, given the stringent finality requirement that prevailed at the time, it is not surprising </w:t>
      </w:r>
      <w:r w:rsidR="00251402">
        <w:t xml:space="preserve">that the Court </w:t>
      </w:r>
      <w:r w:rsidR="0006165E">
        <w:t xml:space="preserve">found </w:t>
      </w:r>
      <w:r w:rsidR="00F83390">
        <w:t xml:space="preserve">the Third Circuit’s </w:t>
      </w:r>
      <w:r w:rsidR="00007A0C">
        <w:t>interlocutory</w:t>
      </w:r>
      <w:r w:rsidR="00F83390">
        <w:t xml:space="preserve"> ruling of invalidity </w:t>
      </w:r>
      <w:r w:rsidR="0006165E">
        <w:t xml:space="preserve">to be insufficiently conclusive to avoid the effect of </w:t>
      </w:r>
      <w:r w:rsidR="00F83390">
        <w:t>the Court</w:t>
      </w:r>
      <w:r w:rsidR="0058236C">
        <w:t>’s subsequent ruling</w:t>
      </w:r>
      <w:r w:rsidR="00773EF7">
        <w:t xml:space="preserve"> in favor of the patent holder</w:t>
      </w:r>
      <w:r w:rsidR="00251402">
        <w:t xml:space="preserve">. </w:t>
      </w:r>
      <w:r w:rsidR="00F83390">
        <w:t xml:space="preserve"> </w:t>
      </w:r>
      <w:r w:rsidR="00251402" w:rsidRPr="00B30592">
        <w:t>Today,</w:t>
      </w:r>
      <w:r w:rsidR="00B30592">
        <w:t xml:space="preserve"> </w:t>
      </w:r>
      <w:r w:rsidR="00F83390">
        <w:t>by contrast</w:t>
      </w:r>
      <w:r w:rsidR="00B30592">
        <w:t xml:space="preserve">, the </w:t>
      </w:r>
      <w:r w:rsidR="00A13A28">
        <w:t>Third Circuit’s</w:t>
      </w:r>
      <w:r w:rsidR="00B30592">
        <w:t xml:space="preserve"> decision that the patent was invalid </w:t>
      </w:r>
      <w:r w:rsidR="00B30592" w:rsidRPr="00B30592">
        <w:t>would</w:t>
      </w:r>
      <w:r w:rsidR="00B30592">
        <w:t xml:space="preserve"> likely be considered final for preclusion purposes</w:t>
      </w:r>
      <w:r w:rsidR="00A13A28">
        <w:t xml:space="preserve"> because it definitively resolved that issue as between the parties to the case, even if other issues remained to be </w:t>
      </w:r>
      <w:r w:rsidR="0058236C">
        <w:t>decided</w:t>
      </w:r>
      <w:r w:rsidR="00B30592">
        <w:t>.</w:t>
      </w:r>
      <w:r w:rsidR="00B30592">
        <w:rPr>
          <w:rStyle w:val="FootnoteReference"/>
        </w:rPr>
        <w:footnoteReference w:id="296"/>
      </w:r>
      <w:r w:rsidR="00251402">
        <w:t xml:space="preserve"> </w:t>
      </w:r>
      <w:r>
        <w:t xml:space="preserve"> </w:t>
      </w:r>
      <w:r w:rsidR="00686686">
        <w:t>Indeed</w:t>
      </w:r>
      <w:r>
        <w:t xml:space="preserve">, Simmons’ second suit for infringement, after the </w:t>
      </w:r>
      <w:r w:rsidR="00A13A28">
        <w:t>Third Circuit’s</w:t>
      </w:r>
      <w:r>
        <w:t xml:space="preserve"> finding of invalidity, would </w:t>
      </w:r>
      <w:r w:rsidR="00686686">
        <w:t>almost certainly</w:t>
      </w:r>
      <w:r>
        <w:t xml:space="preserve"> be precluded today under </w:t>
      </w:r>
      <w:r>
        <w:rPr>
          <w:i/>
        </w:rPr>
        <w:t>Blonder-Tongue</w:t>
      </w:r>
      <w:r w:rsidR="00B30592">
        <w:t>, which held that a court decision of invalidity precludes all future claims for infringement.</w:t>
      </w:r>
      <w:r w:rsidR="00B30592">
        <w:rPr>
          <w:rStyle w:val="FootnoteReference"/>
        </w:rPr>
        <w:footnoteReference w:id="297"/>
      </w:r>
      <w:r w:rsidR="00007A0C">
        <w:t xml:space="preserve">  </w:t>
      </w:r>
    </w:p>
    <w:p w14:paraId="57F3F081" w14:textId="36B69A06" w:rsidR="0014268E" w:rsidRDefault="00007A0C" w:rsidP="002263B2">
      <w:pPr>
        <w:tabs>
          <w:tab w:val="left" w:pos="360"/>
        </w:tabs>
        <w:jc w:val="both"/>
      </w:pPr>
      <w:r>
        <w:t xml:space="preserve">In short, </w:t>
      </w:r>
      <w:r w:rsidR="00EA21BA">
        <w:t xml:space="preserve">it is not at all clear that </w:t>
      </w:r>
      <w:r w:rsidR="00EA21BA">
        <w:rPr>
          <w:i/>
        </w:rPr>
        <w:t xml:space="preserve">Simmons </w:t>
      </w:r>
      <w:r w:rsidR="00EA21BA">
        <w:t>would be decided the same way today</w:t>
      </w:r>
      <w:r w:rsidR="00686686">
        <w:t>, so the Federal Circuit’s suggestion that the case is “controlling . . . authority” is questionable</w:t>
      </w:r>
      <w:r w:rsidR="006343CA">
        <w:t>.</w:t>
      </w:r>
      <w:bookmarkStart w:id="41" w:name="_Ref433644468"/>
      <w:r w:rsidR="00686686">
        <w:rPr>
          <w:rStyle w:val="FootnoteReference"/>
        </w:rPr>
        <w:footnoteReference w:id="298"/>
      </w:r>
      <w:bookmarkEnd w:id="41"/>
      <w:r w:rsidR="006343CA">
        <w:t xml:space="preserve">  </w:t>
      </w:r>
      <w:r w:rsidR="00686686">
        <w:t xml:space="preserve">But we may never know how </w:t>
      </w:r>
      <w:r w:rsidR="00686686">
        <w:rPr>
          <w:i/>
        </w:rPr>
        <w:t>Simmons</w:t>
      </w:r>
      <w:r w:rsidR="00686686">
        <w:t xml:space="preserve"> would be decided today because </w:t>
      </w:r>
      <w:r w:rsidR="00EA21BA">
        <w:t>the creation of the Federal Circuit makes it unlikely that the</w:t>
      </w:r>
      <w:r w:rsidR="00686686">
        <w:t xml:space="preserve"> case’s</w:t>
      </w:r>
      <w:r w:rsidR="00EA21BA">
        <w:t xml:space="preserve"> fact pattern</w:t>
      </w:r>
      <w:r w:rsidR="00686686">
        <w:t>—</w:t>
      </w:r>
      <w:r w:rsidR="002263B2">
        <w:t>conflicting decisions by two federal courts of appeal on the validity of the same patent</w:t>
      </w:r>
      <w:r w:rsidR="00686686">
        <w:t>—</w:t>
      </w:r>
      <w:r w:rsidR="00EA21BA">
        <w:t xml:space="preserve">will </w:t>
      </w:r>
      <w:r w:rsidR="002263B2">
        <w:t xml:space="preserve">ever recur.  </w:t>
      </w:r>
    </w:p>
    <w:p w14:paraId="7671CDE2" w14:textId="70FA9F9E" w:rsidR="0014268E" w:rsidRPr="0014268E" w:rsidRDefault="0014268E" w:rsidP="00251402">
      <w:pPr>
        <w:keepNext/>
        <w:tabs>
          <w:tab w:val="left" w:pos="360"/>
        </w:tabs>
        <w:ind w:left="720" w:hanging="274"/>
        <w:jc w:val="both"/>
        <w:rPr>
          <w:i/>
        </w:rPr>
      </w:pPr>
      <w:r w:rsidRPr="0014268E">
        <w:rPr>
          <w:i/>
        </w:rPr>
        <w:t>2.</w:t>
      </w:r>
      <w:r w:rsidRPr="0014268E">
        <w:rPr>
          <w:i/>
        </w:rPr>
        <w:tab/>
        <w:t>Issue Preclusion Finality</w:t>
      </w:r>
    </w:p>
    <w:p w14:paraId="33DBE840" w14:textId="1B746659" w:rsidR="00FB30F3" w:rsidRDefault="00B30592" w:rsidP="00C01ACA">
      <w:pPr>
        <w:tabs>
          <w:tab w:val="left" w:pos="360"/>
        </w:tabs>
        <w:jc w:val="both"/>
      </w:pPr>
      <w:r>
        <w:t>To sum</w:t>
      </w:r>
      <w:r w:rsidR="00E43EAD">
        <w:t>marize the argument thus far:  N</w:t>
      </w:r>
      <w:r>
        <w:t>one of the authorities on which the Federal Circuit has relied provide lock tight support for its holding that</w:t>
      </w:r>
      <w:r w:rsidR="00E43EAD">
        <w:t>, so long as any issue remains to be determined in a court case,</w:t>
      </w:r>
      <w:r>
        <w:t xml:space="preserve"> a PTO decision of invalidity </w:t>
      </w:r>
      <w:r w:rsidR="00FC5472">
        <w:t>takes precedence over</w:t>
      </w:r>
      <w:r>
        <w:t xml:space="preserve"> a court decision</w:t>
      </w:r>
      <w:r w:rsidR="00686686">
        <w:t xml:space="preserve"> rejecting a validity challenge</w:t>
      </w:r>
      <w:r>
        <w:t xml:space="preserve">.  </w:t>
      </w:r>
      <w:r w:rsidR="000B0809">
        <w:t xml:space="preserve">In several dissenting opinions, Judges </w:t>
      </w:r>
      <w:r w:rsidR="00FB30F3">
        <w:t>Newman and O’Malley</w:t>
      </w:r>
      <w:r w:rsidR="000B0809">
        <w:t xml:space="preserve"> have</w:t>
      </w:r>
      <w:r w:rsidR="002263B2">
        <w:t xml:space="preserve"> identified a doctrine they believe </w:t>
      </w:r>
      <w:r w:rsidR="00686686">
        <w:t>conclusively</w:t>
      </w:r>
      <w:r w:rsidR="002263B2">
        <w:t xml:space="preserve"> shows that the absolute finality rule is </w:t>
      </w:r>
      <w:r w:rsidR="002263B2" w:rsidRPr="00AB0E5A">
        <w:t>wrong</w:t>
      </w:r>
      <w:r w:rsidR="002263B2">
        <w:t xml:space="preserve">.  </w:t>
      </w:r>
      <w:r w:rsidR="002263B2" w:rsidRPr="00F7579E">
        <w:t>Specifically,</w:t>
      </w:r>
      <w:r w:rsidR="002263B2">
        <w:t xml:space="preserve"> they have</w:t>
      </w:r>
      <w:r w:rsidR="000B0809">
        <w:t xml:space="preserve"> </w:t>
      </w:r>
      <w:r w:rsidR="004B2EA1">
        <w:t>argue</w:t>
      </w:r>
      <w:r w:rsidR="00686686">
        <w:t xml:space="preserve">d that case law discussing the </w:t>
      </w:r>
      <w:r w:rsidR="004B2EA1">
        <w:t xml:space="preserve">finality requirement of </w:t>
      </w:r>
      <w:r w:rsidR="004B2EA1">
        <w:lastRenderedPageBreak/>
        <w:t xml:space="preserve">issue preclusion doctrine answers the question of when a court </w:t>
      </w:r>
      <w:r w:rsidR="00AB0E5A">
        <w:t xml:space="preserve">decision is immune from the effects of a </w:t>
      </w:r>
      <w:r w:rsidR="004B2EA1">
        <w:t>PTO decision of invalidity</w:t>
      </w:r>
      <w:r w:rsidR="00F7579E">
        <w:t>.</w:t>
      </w:r>
      <w:r w:rsidR="00F7579E">
        <w:rPr>
          <w:rStyle w:val="FootnoteReference"/>
        </w:rPr>
        <w:footnoteReference w:id="299"/>
      </w:r>
      <w:r w:rsidR="00F7579E">
        <w:t xml:space="preserve">  Although the</w:t>
      </w:r>
      <w:r w:rsidR="0006165E">
        <w:t xml:space="preserve"> Federal Circuit’s</w:t>
      </w:r>
      <w:r w:rsidR="00F7579E">
        <w:t xml:space="preserve"> absolute finality rule is certainly in tension with </w:t>
      </w:r>
      <w:r w:rsidR="000B0809">
        <w:t xml:space="preserve">the flexible notions of </w:t>
      </w:r>
      <w:r w:rsidR="004B2EA1">
        <w:t>finality</w:t>
      </w:r>
      <w:r w:rsidR="00271ADC">
        <w:t xml:space="preserve"> </w:t>
      </w:r>
      <w:r w:rsidR="000B0809">
        <w:t xml:space="preserve">that prevail under modern </w:t>
      </w:r>
      <w:r w:rsidR="004B2EA1">
        <w:t>preclusion doctrine</w:t>
      </w:r>
      <w:r w:rsidR="00F7579E">
        <w:t>, issue preclusion principles also do not definitively indicate how to mediate conflicting decisions between a court and the PTO on the validity of a single patent.</w:t>
      </w:r>
    </w:p>
    <w:p w14:paraId="669E4C48" w14:textId="21557772" w:rsidR="00C01ACA" w:rsidRDefault="00A13A28" w:rsidP="00AC6058">
      <w:pPr>
        <w:tabs>
          <w:tab w:val="left" w:pos="360"/>
        </w:tabs>
        <w:jc w:val="both"/>
      </w:pPr>
      <w:r>
        <w:t>To be</w:t>
      </w:r>
      <w:r w:rsidR="00F7579E">
        <w:t xml:space="preserve"> </w:t>
      </w:r>
      <w:r w:rsidR="00E43EAD">
        <w:t>sure</w:t>
      </w:r>
      <w:r w:rsidR="00F7579E">
        <w:t xml:space="preserve">, Judges Newman and O’Malley </w:t>
      </w:r>
      <w:r w:rsidR="00AC6058">
        <w:t xml:space="preserve">are correct about the </w:t>
      </w:r>
      <w:r w:rsidR="00F7579E">
        <w:t>content</w:t>
      </w:r>
      <w:r w:rsidR="00AC6058">
        <w:t xml:space="preserve"> of modern preclusion doctrine.  </w:t>
      </w:r>
      <w:r w:rsidR="000B0809">
        <w:t xml:space="preserve">Traditionally, finality for issue preclusion purposes was similar to the finality required </w:t>
      </w:r>
      <w:r w:rsidR="0006165E">
        <w:t>for a judgment to be appealable.</w:t>
      </w:r>
      <w:r w:rsidR="000B0809">
        <w:t xml:space="preserve">  The order had to end the litigation on the merits and leave nothing for the court to do but execute the judgment.</w:t>
      </w:r>
      <w:r w:rsidR="000B0809">
        <w:rPr>
          <w:rStyle w:val="FootnoteReference"/>
        </w:rPr>
        <w:footnoteReference w:id="300"/>
      </w:r>
      <w:r w:rsidR="000B0809">
        <w:t xml:space="preserve">  </w:t>
      </w:r>
      <w:r w:rsidR="00AB0E5A">
        <w:t>Thus, in</w:t>
      </w:r>
      <w:r w:rsidR="00AB0E5A">
        <w:rPr>
          <w:i/>
        </w:rPr>
        <w:t xml:space="preserve"> Fresenius</w:t>
      </w:r>
      <w:r w:rsidR="00AB0E5A">
        <w:t xml:space="preserve">, the majority was able to claim that </w:t>
      </w:r>
      <w:r w:rsidR="00C01ACA">
        <w:t xml:space="preserve">“‘[a]n order that establishes liability but leaves open the question of damages or other remedies . . . [is] not final for purposes of preclusion under </w:t>
      </w:r>
      <w:r w:rsidR="00C01ACA" w:rsidRPr="00065B3C">
        <w:rPr>
          <w:i/>
        </w:rPr>
        <w:t>traditional</w:t>
      </w:r>
      <w:r w:rsidR="00C01ACA">
        <w:t xml:space="preserve"> analysis.’”</w:t>
      </w:r>
      <w:r w:rsidR="00C01ACA">
        <w:rPr>
          <w:rStyle w:val="FootnoteReference"/>
        </w:rPr>
        <w:footnoteReference w:id="301"/>
      </w:r>
      <w:r w:rsidR="00C01ACA">
        <w:t xml:space="preserve"> </w:t>
      </w:r>
    </w:p>
    <w:p w14:paraId="726B287E" w14:textId="0F8871A4" w:rsidR="000B0809" w:rsidRDefault="000B0809" w:rsidP="000B0809">
      <w:pPr>
        <w:tabs>
          <w:tab w:val="left" w:pos="360"/>
        </w:tabs>
        <w:jc w:val="both"/>
      </w:pPr>
      <w:r>
        <w:t xml:space="preserve">Today, however, finality is </w:t>
      </w:r>
      <w:r w:rsidR="00BE3683">
        <w:t xml:space="preserve">typically </w:t>
      </w:r>
      <w:r>
        <w:t>applied “less strictly for preclusion purposes than for purposes of appeal.”</w:t>
      </w:r>
      <w:r>
        <w:rPr>
          <w:rStyle w:val="FootnoteReference"/>
        </w:rPr>
        <w:footnoteReference w:id="302"/>
      </w:r>
      <w:r>
        <w:t xml:space="preserve">  The leading case drawing this distinction is Judge Friendly’s opinion for the Second Circuit in </w:t>
      </w:r>
      <w:proofErr w:type="spellStart"/>
      <w:r w:rsidRPr="00D40AA4">
        <w:rPr>
          <w:i/>
        </w:rPr>
        <w:t>Lummus</w:t>
      </w:r>
      <w:proofErr w:type="spellEnd"/>
      <w:r w:rsidRPr="00D40AA4">
        <w:rPr>
          <w:i/>
        </w:rPr>
        <w:t xml:space="preserve"> Co. v. Commonwealth Oil Refin</w:t>
      </w:r>
      <w:r>
        <w:rPr>
          <w:i/>
        </w:rPr>
        <w:t>ing</w:t>
      </w:r>
      <w:r w:rsidRPr="00D40AA4">
        <w:rPr>
          <w:i/>
        </w:rPr>
        <w:t xml:space="preserve"> Co.</w:t>
      </w:r>
      <w:r w:rsidR="002366D1">
        <w:t>,</w:t>
      </w:r>
      <w:r>
        <w:t xml:space="preserve"> </w:t>
      </w:r>
      <w:r w:rsidR="00FC5472">
        <w:t>which</w:t>
      </w:r>
      <w:r>
        <w:t xml:space="preserve"> noted:</w:t>
      </w:r>
    </w:p>
    <w:p w14:paraId="44BAC490" w14:textId="577A330A" w:rsidR="000B0809" w:rsidRDefault="000B0809" w:rsidP="000B0809">
      <w:pPr>
        <w:tabs>
          <w:tab w:val="left" w:pos="360"/>
        </w:tabs>
        <w:ind w:left="360" w:right="360" w:firstLine="0"/>
        <w:jc w:val="both"/>
      </w:pPr>
      <w:r>
        <w:t>Whether a judgment, not “final”</w:t>
      </w:r>
      <w:r w:rsidRPr="00D40AA4">
        <w:t xml:space="preserve"> in the sense of </w:t>
      </w:r>
      <w:r w:rsidR="00172D0F">
        <w:t>[being appealable]</w:t>
      </w:r>
      <w:r w:rsidRPr="00D40AA4">
        <w:t>, ou</w:t>
      </w:r>
      <w:r>
        <w:t>ght nevertheless be considered “final”</w:t>
      </w:r>
      <w:r w:rsidRPr="00D40AA4">
        <w:t xml:space="preserve"> in the sense of precluding further litigation of the same issue, turns upon such factors as the nature of the decision (i.e., that it was not avowedly tentative), the adequacy of the hearing, and the opportunity for review.</w:t>
      </w:r>
      <w:r>
        <w:t xml:space="preserve">  “Finality”</w:t>
      </w:r>
      <w:r w:rsidRPr="00D40AA4">
        <w:t xml:space="preserve"> in the context here relevant may mean little more than that the litigation of a particular issue has reached such a stage that a court sees no really good reason for permitting it to be litigated again.</w:t>
      </w:r>
      <w:r>
        <w:rPr>
          <w:rStyle w:val="FootnoteReference"/>
        </w:rPr>
        <w:footnoteReference w:id="303"/>
      </w:r>
    </w:p>
    <w:p w14:paraId="062CE422" w14:textId="2B70D137" w:rsidR="000B0809" w:rsidRDefault="000B0809" w:rsidP="00BE3683">
      <w:pPr>
        <w:tabs>
          <w:tab w:val="left" w:pos="360"/>
        </w:tabs>
        <w:ind w:firstLine="0"/>
        <w:jc w:val="both"/>
      </w:pPr>
      <w:r>
        <w:t xml:space="preserve">Accordingly, an order that definitively establishes liability but leaves open remedial questions such as </w:t>
      </w:r>
      <w:r w:rsidR="00A13A28">
        <w:t xml:space="preserve">the amount of </w:t>
      </w:r>
      <w:r>
        <w:t>damages</w:t>
      </w:r>
      <w:r w:rsidR="002366D1">
        <w:t xml:space="preserve"> or the precise terms of an </w:t>
      </w:r>
      <w:r w:rsidR="002366D1">
        <w:lastRenderedPageBreak/>
        <w:t>injunction</w:t>
      </w:r>
      <w:r>
        <w:t xml:space="preserve"> is usually entitled to preclusive effect on the issue of liability, even if the case is still ongoing.</w:t>
      </w:r>
      <w:r w:rsidR="00BE3683">
        <w:rPr>
          <w:rStyle w:val="FootnoteReference"/>
        </w:rPr>
        <w:footnoteReference w:id="304"/>
      </w:r>
      <w:r w:rsidR="00BE3683" w:rsidRPr="00B139A2">
        <w:t xml:space="preserve"> </w:t>
      </w:r>
    </w:p>
    <w:p w14:paraId="36522700" w14:textId="369092BB" w:rsidR="000B0809" w:rsidRDefault="000B0809" w:rsidP="000B0809">
      <w:pPr>
        <w:tabs>
          <w:tab w:val="left" w:pos="360"/>
        </w:tabs>
        <w:jc w:val="both"/>
      </w:pPr>
      <w:r>
        <w:t xml:space="preserve">Under this modern, flexible conception of finality, the </w:t>
      </w:r>
      <w:r w:rsidR="00F7579E">
        <w:t xml:space="preserve">district court </w:t>
      </w:r>
      <w:r>
        <w:t xml:space="preserve">rulings on validity and infringement </w:t>
      </w:r>
      <w:r w:rsidR="00F7579E">
        <w:t xml:space="preserve">that the Federal Circuit overturned </w:t>
      </w:r>
      <w:r>
        <w:t xml:space="preserve">in </w:t>
      </w:r>
      <w:r>
        <w:rPr>
          <w:i/>
        </w:rPr>
        <w:t xml:space="preserve">Fresenius </w:t>
      </w:r>
      <w:r>
        <w:t xml:space="preserve">and </w:t>
      </w:r>
      <w:proofErr w:type="spellStart"/>
      <w:r>
        <w:rPr>
          <w:i/>
        </w:rPr>
        <w:t>ePlus</w:t>
      </w:r>
      <w:proofErr w:type="spellEnd"/>
      <w:r>
        <w:t xml:space="preserve"> were</w:t>
      </w:r>
      <w:r w:rsidR="00F7579E">
        <w:t>, as Judges Newman and O’Malley argued,</w:t>
      </w:r>
      <w:r>
        <w:t xml:space="preserve"> final for preclusion purposes before the PTO</w:t>
      </w:r>
      <w:r w:rsidR="00172D0F">
        <w:t xml:space="preserve"> proceedings concluded</w:t>
      </w:r>
      <w:r>
        <w:t xml:space="preserve">.  In </w:t>
      </w:r>
      <w:r>
        <w:rPr>
          <w:i/>
        </w:rPr>
        <w:t>Fresenius</w:t>
      </w:r>
      <w:r>
        <w:t xml:space="preserve">, </w:t>
      </w:r>
      <w:r w:rsidR="00F7579E">
        <w:t>the court proceedings on validity and infringement</w:t>
      </w:r>
      <w:r w:rsidR="002366D1">
        <w:t xml:space="preserve"> effectively concluded </w:t>
      </w:r>
      <w:r w:rsidR="00F7579E">
        <w:t xml:space="preserve">when the Federal Circuit affirmed the district court’s ruling in favor of Baxter (the patent holder) </w:t>
      </w:r>
      <w:r w:rsidR="002366D1">
        <w:t xml:space="preserve">on those issues </w:t>
      </w:r>
      <w:r w:rsidR="00F7579E">
        <w:t>and the Supreme Court denied certiorari from that ruling</w:t>
      </w:r>
      <w:r>
        <w:t xml:space="preserve">.  </w:t>
      </w:r>
      <w:r w:rsidR="00F7579E">
        <w:t>Although th</w:t>
      </w:r>
      <w:r>
        <w:t>e Federal Circuit remanded the case for further proceedings related to ongoing royalties and the injunction,</w:t>
      </w:r>
      <w:r w:rsidR="00F7579E">
        <w:t xml:space="preserve"> for issue preclusion purposes, the court rulings on validity and infringement were final </w:t>
      </w:r>
      <w:r w:rsidR="00E43EAD">
        <w:t>more than</w:t>
      </w:r>
      <w:r w:rsidR="002366D1">
        <w:t xml:space="preserve"> two years before the Federal Circuit affirm</w:t>
      </w:r>
      <w:r w:rsidR="00E43EAD">
        <w:t>ed</w:t>
      </w:r>
      <w:r w:rsidR="002366D1">
        <w:t xml:space="preserve"> the PTO decision invalidating Baxter’s patent </w:t>
      </w:r>
      <w:r w:rsidR="002366D1" w:rsidRPr="00064F1E">
        <w:t>claims</w:t>
      </w:r>
      <w:r w:rsidR="00F7579E">
        <w:t>.</w:t>
      </w:r>
      <w:r w:rsidR="00064F1E">
        <w:rPr>
          <w:rStyle w:val="FootnoteReference"/>
        </w:rPr>
        <w:footnoteReference w:id="305"/>
      </w:r>
      <w:r w:rsidR="00F7579E">
        <w:t xml:space="preserve">  </w:t>
      </w:r>
      <w:r>
        <w:t xml:space="preserve">Likewise, in </w:t>
      </w:r>
      <w:proofErr w:type="spellStart"/>
      <w:r>
        <w:rPr>
          <w:i/>
        </w:rPr>
        <w:t>ePlus</w:t>
      </w:r>
      <w:proofErr w:type="spellEnd"/>
      <w:r>
        <w:t xml:space="preserve">, validity and infringement were resolved in the first appeal, which </w:t>
      </w:r>
      <w:r w:rsidR="00064F1E">
        <w:t>concluded</w:t>
      </w:r>
      <w:r>
        <w:t xml:space="preserve"> ten months before </w:t>
      </w:r>
      <w:r w:rsidR="00064F1E">
        <w:t>the Federal Circuit</w:t>
      </w:r>
      <w:r>
        <w:t xml:space="preserve"> affirmed the PTO’s </w:t>
      </w:r>
      <w:r w:rsidR="004025BE">
        <w:t>invalidity</w:t>
      </w:r>
      <w:r>
        <w:t xml:space="preserve"> decision.</w:t>
      </w:r>
      <w:r>
        <w:rPr>
          <w:rStyle w:val="FootnoteReference"/>
        </w:rPr>
        <w:footnoteReference w:id="306"/>
      </w:r>
      <w:r w:rsidR="008B319C">
        <w:t xml:space="preserve">  </w:t>
      </w:r>
    </w:p>
    <w:p w14:paraId="12B6BFBE" w14:textId="730A49A0" w:rsidR="00271ADC" w:rsidRDefault="005408F5" w:rsidP="000B0809">
      <w:pPr>
        <w:tabs>
          <w:tab w:val="left" w:pos="360"/>
        </w:tabs>
        <w:jc w:val="both"/>
      </w:pPr>
      <w:r>
        <w:t>Issue preclusion</w:t>
      </w:r>
      <w:r w:rsidR="00172D0F">
        <w:t>, however,</w:t>
      </w:r>
      <w:r>
        <w:t xml:space="preserve"> is not the relevant </w:t>
      </w:r>
      <w:r w:rsidR="00172D0F">
        <w:t xml:space="preserve">doctrine in </w:t>
      </w:r>
      <w:r w:rsidR="004B2EA1">
        <w:t>cases involving conflicting decisions between the courts and the PTO</w:t>
      </w:r>
      <w:r w:rsidR="006343CA">
        <w:t>.  A</w:t>
      </w:r>
      <w:r>
        <w:t xml:space="preserve">s noted, the courts </w:t>
      </w:r>
      <w:r w:rsidR="00172D0F">
        <w:t xml:space="preserve">and the PTO </w:t>
      </w:r>
      <w:r>
        <w:t xml:space="preserve">apply </w:t>
      </w:r>
      <w:r w:rsidR="00172D0F">
        <w:t>different</w:t>
      </w:r>
      <w:r>
        <w:t xml:space="preserve"> burden</w:t>
      </w:r>
      <w:r w:rsidR="00172D0F">
        <w:t>s</w:t>
      </w:r>
      <w:r>
        <w:t xml:space="preserve"> of proof on the issue of validity, </w:t>
      </w:r>
      <w:r w:rsidR="00E43EAD">
        <w:t>which defeats</w:t>
      </w:r>
      <w:r>
        <w:t xml:space="preserve"> a key requirement for issue preclusion.</w:t>
      </w:r>
      <w:r w:rsidR="00F7579E">
        <w:rPr>
          <w:rStyle w:val="FootnoteReference"/>
        </w:rPr>
        <w:footnoteReference w:id="307"/>
      </w:r>
      <w:r>
        <w:t xml:space="preserve">  Moreover,</w:t>
      </w:r>
      <w:r w:rsidR="00172D0F">
        <w:t xml:space="preserve"> </w:t>
      </w:r>
      <w:r w:rsidR="0021193F">
        <w:t xml:space="preserve">the finality requirement for issue preclusion ensures that </w:t>
      </w:r>
      <w:r w:rsidR="0021193F" w:rsidRPr="00172D0F">
        <w:rPr>
          <w:i/>
        </w:rPr>
        <w:t>the decision to be given preclusive effect</w:t>
      </w:r>
      <w:r w:rsidR="0021193F">
        <w:t xml:space="preserve"> is sufficiently conclusive to forestall </w:t>
      </w:r>
      <w:proofErr w:type="spellStart"/>
      <w:r w:rsidR="0021193F">
        <w:t>relitigation</w:t>
      </w:r>
      <w:proofErr w:type="spellEnd"/>
      <w:r w:rsidR="0021193F">
        <w:t>.  I</w:t>
      </w:r>
      <w:r w:rsidR="00172D0F">
        <w:t xml:space="preserve">n cases such as </w:t>
      </w:r>
      <w:r w:rsidR="00172D0F">
        <w:rPr>
          <w:i/>
        </w:rPr>
        <w:t>Fresenius</w:t>
      </w:r>
      <w:r w:rsidR="00172D0F">
        <w:t xml:space="preserve"> and </w:t>
      </w:r>
      <w:proofErr w:type="spellStart"/>
      <w:r w:rsidR="00172D0F">
        <w:rPr>
          <w:i/>
        </w:rPr>
        <w:t>ePlus</w:t>
      </w:r>
      <w:proofErr w:type="spellEnd"/>
      <w:r w:rsidR="00172D0F">
        <w:t xml:space="preserve">, </w:t>
      </w:r>
      <w:r w:rsidR="0021193F">
        <w:t xml:space="preserve">however, </w:t>
      </w:r>
      <w:r w:rsidR="00172D0F">
        <w:t xml:space="preserve">the </w:t>
      </w:r>
      <w:r w:rsidR="004025BE">
        <w:t>Federal Circuit’s finality analysis has focused</w:t>
      </w:r>
      <w:r w:rsidR="00172D0F">
        <w:t xml:space="preserve"> on the court’s decision in</w:t>
      </w:r>
      <w:r w:rsidR="00171A5F">
        <w:t xml:space="preserve"> infringement litigation</w:t>
      </w:r>
      <w:r w:rsidR="0021193F">
        <w:t xml:space="preserve">, which does </w:t>
      </w:r>
      <w:r w:rsidR="0021193F" w:rsidRPr="004025BE">
        <w:t>not</w:t>
      </w:r>
      <w:r w:rsidR="0021193F">
        <w:t xml:space="preserve"> </w:t>
      </w:r>
      <w:r w:rsidR="00E43EAD" w:rsidRPr="00441CF6">
        <w:t>forestall</w:t>
      </w:r>
      <w:r w:rsidR="0021193F">
        <w:t xml:space="preserve"> proceedings in the PTO</w:t>
      </w:r>
      <w:r w:rsidR="00171A5F">
        <w:t xml:space="preserve">.  </w:t>
      </w:r>
      <w:r w:rsidR="00F7579E">
        <w:t>Indeed, it is relatively uncontroversial that the PTO can continue post-</w:t>
      </w:r>
      <w:r w:rsidR="00F7579E">
        <w:lastRenderedPageBreak/>
        <w:t xml:space="preserve">issuance review </w:t>
      </w:r>
      <w:r w:rsidR="0021193F">
        <w:t xml:space="preserve">even </w:t>
      </w:r>
      <w:r w:rsidR="00F7579E">
        <w:t xml:space="preserve">after a court </w:t>
      </w:r>
      <w:r w:rsidR="0021193F">
        <w:t>rejects</w:t>
      </w:r>
      <w:r w:rsidR="00F7579E">
        <w:t xml:space="preserve"> a validity challenge.</w:t>
      </w:r>
      <w:r w:rsidR="00F7579E">
        <w:rPr>
          <w:rStyle w:val="FootnoteReference"/>
        </w:rPr>
        <w:footnoteReference w:id="308"/>
      </w:r>
      <w:r w:rsidR="00A05414">
        <w:t xml:space="preserve">  Rather, i</w:t>
      </w:r>
      <w:r w:rsidR="004B2EA1">
        <w:t xml:space="preserve">f any decision </w:t>
      </w:r>
      <w:r w:rsidR="00E43EAD">
        <w:t xml:space="preserve">could be characterized as </w:t>
      </w:r>
      <w:r w:rsidR="002351D7">
        <w:t>being given</w:t>
      </w:r>
      <w:r w:rsidR="004B2EA1">
        <w:t xml:space="preserve"> “preclusive” effect </w:t>
      </w:r>
      <w:r w:rsidR="00172D0F">
        <w:t xml:space="preserve">in cases such as </w:t>
      </w:r>
      <w:r w:rsidR="00172D0F">
        <w:rPr>
          <w:i/>
        </w:rPr>
        <w:t>Fresenius</w:t>
      </w:r>
      <w:r w:rsidR="00172D0F">
        <w:t xml:space="preserve"> and </w:t>
      </w:r>
      <w:proofErr w:type="spellStart"/>
      <w:r w:rsidR="00172D0F">
        <w:rPr>
          <w:i/>
        </w:rPr>
        <w:t>ePlus</w:t>
      </w:r>
      <w:proofErr w:type="spellEnd"/>
      <w:r w:rsidR="00064F1E">
        <w:t>,</w:t>
      </w:r>
      <w:r w:rsidR="00172D0F">
        <w:t xml:space="preserve"> </w:t>
      </w:r>
      <w:r w:rsidR="0021193F">
        <w:t xml:space="preserve">it </w:t>
      </w:r>
      <w:r w:rsidR="00172D0F">
        <w:t xml:space="preserve">is the </w:t>
      </w:r>
      <w:r w:rsidR="00172D0F">
        <w:rPr>
          <w:i/>
        </w:rPr>
        <w:t xml:space="preserve">PTO’s </w:t>
      </w:r>
      <w:r w:rsidR="00172D0F">
        <w:t xml:space="preserve">decision to </w:t>
      </w:r>
      <w:r w:rsidR="00A05414">
        <w:t>invalidate</w:t>
      </w:r>
      <w:r w:rsidR="00172D0F">
        <w:t xml:space="preserve"> the patent, </w:t>
      </w:r>
      <w:r w:rsidR="003248A5">
        <w:t>which</w:t>
      </w:r>
      <w:r w:rsidR="00686686">
        <w:t>, under the absolute finality rule,</w:t>
      </w:r>
      <w:r w:rsidR="00E43EAD">
        <w:t xml:space="preserve"> forestall</w:t>
      </w:r>
      <w:r w:rsidR="00686686">
        <w:t>s</w:t>
      </w:r>
      <w:r w:rsidR="00E43EAD">
        <w:t xml:space="preserve"> continued litigation of the infringement claims</w:t>
      </w:r>
      <w:r w:rsidR="00D372D5">
        <w:t xml:space="preserve"> in court</w:t>
      </w:r>
      <w:r w:rsidR="00E43EAD">
        <w:t xml:space="preserve">.  But because the </w:t>
      </w:r>
      <w:r w:rsidR="00E43EAD" w:rsidRPr="00441CF6">
        <w:t>court decision</w:t>
      </w:r>
      <w:r w:rsidR="00E43EAD">
        <w:t xml:space="preserve"> is not being </w:t>
      </w:r>
      <w:r w:rsidR="00441CF6">
        <w:t>assessed</w:t>
      </w:r>
      <w:r w:rsidR="00E43EAD">
        <w:t xml:space="preserve"> for its preclusive effect</w:t>
      </w:r>
      <w:r w:rsidR="0021193F">
        <w:t xml:space="preserve">, </w:t>
      </w:r>
      <w:r w:rsidR="00E43EAD">
        <w:t>its</w:t>
      </w:r>
      <w:r w:rsidR="00A05414">
        <w:t xml:space="preserve"> finality for issue preclusion purposes is </w:t>
      </w:r>
      <w:r w:rsidR="00D372D5">
        <w:t xml:space="preserve">arguably </w:t>
      </w:r>
      <w:r w:rsidR="00441CF6">
        <w:t>irrelevant</w:t>
      </w:r>
      <w:r w:rsidR="0021193F">
        <w:t>.</w:t>
      </w:r>
    </w:p>
    <w:p w14:paraId="11C9BE5C" w14:textId="376BF77D" w:rsidR="006033F3" w:rsidRDefault="00641A16" w:rsidP="002F2547">
      <w:pPr>
        <w:tabs>
          <w:tab w:val="left" w:pos="360"/>
        </w:tabs>
        <w:jc w:val="both"/>
      </w:pPr>
      <w:r>
        <w:t xml:space="preserve">Still, </w:t>
      </w:r>
      <w:r w:rsidR="003248A5">
        <w:t>the basic policies of efficiency and repose that undergird preclusion doctrine support the</w:t>
      </w:r>
      <w:r w:rsidR="005408F5">
        <w:t xml:space="preserve"> argument that the absolute finality rule is too </w:t>
      </w:r>
      <w:r w:rsidR="00BE3683">
        <w:t>inflexible</w:t>
      </w:r>
      <w:r w:rsidR="008117EE">
        <w:t>.</w:t>
      </w:r>
      <w:r w:rsidR="0021193F">
        <w:rPr>
          <w:rStyle w:val="FootnoteReference"/>
        </w:rPr>
        <w:footnoteReference w:id="309"/>
      </w:r>
      <w:r w:rsidR="008117EE">
        <w:t xml:space="preserve">  </w:t>
      </w:r>
      <w:r w:rsidR="00496D73">
        <w:t>Infringement defendant</w:t>
      </w:r>
      <w:r w:rsidR="008117EE">
        <w:t>s</w:t>
      </w:r>
      <w:r w:rsidR="00496D73">
        <w:t xml:space="preserve"> such as Fresenius and Lawson had a full and fair opportunity to litigate the issues of validity and infringement, all the way through appeal.  And they lost.  </w:t>
      </w:r>
      <w:r w:rsidR="0021193F">
        <w:t>But i</w:t>
      </w:r>
      <w:r w:rsidR="00B933F5">
        <w:t>ssue preclusion doctrine does not</w:t>
      </w:r>
      <w:r w:rsidR="00892787">
        <w:t xml:space="preserve"> itself resolve </w:t>
      </w:r>
      <w:r w:rsidR="00B933F5">
        <w:t xml:space="preserve">whether </w:t>
      </w:r>
      <w:r w:rsidR="00064F1E">
        <w:t>a</w:t>
      </w:r>
      <w:r w:rsidR="00B933F5">
        <w:t xml:space="preserve"> district court ruling </w:t>
      </w:r>
      <w:r w:rsidR="00064F1E">
        <w:t>rejecting a validity challenge</w:t>
      </w:r>
      <w:r w:rsidR="00B933F5">
        <w:t xml:space="preserve"> should stand despite the PTO’s conclusion </w:t>
      </w:r>
      <w:r w:rsidR="0033106F">
        <w:t>that the patent is invalid</w:t>
      </w:r>
      <w:r w:rsidR="000B7062">
        <w:t xml:space="preserve">.  </w:t>
      </w:r>
      <w:r w:rsidR="00496D73">
        <w:t xml:space="preserve"> </w:t>
      </w:r>
    </w:p>
    <w:p w14:paraId="59CA53E7" w14:textId="4201A726" w:rsidR="0014268E" w:rsidRPr="0014268E" w:rsidRDefault="0014268E" w:rsidP="0014268E">
      <w:pPr>
        <w:tabs>
          <w:tab w:val="left" w:pos="360"/>
        </w:tabs>
        <w:ind w:left="720" w:hanging="270"/>
        <w:jc w:val="both"/>
        <w:rPr>
          <w:i/>
        </w:rPr>
      </w:pPr>
      <w:r w:rsidRPr="0014268E">
        <w:rPr>
          <w:i/>
        </w:rPr>
        <w:t>3.</w:t>
      </w:r>
      <w:r w:rsidRPr="0014268E">
        <w:rPr>
          <w:i/>
        </w:rPr>
        <w:tab/>
        <w:t>Law of the Case</w:t>
      </w:r>
    </w:p>
    <w:p w14:paraId="28045DA8" w14:textId="2DA38255" w:rsidR="001C3B14" w:rsidRDefault="00DB544C" w:rsidP="00C90E03">
      <w:pPr>
        <w:tabs>
          <w:tab w:val="left" w:pos="360"/>
        </w:tabs>
        <w:jc w:val="both"/>
      </w:pPr>
      <w:r>
        <w:t>Unlike the cases on which the Federal Circuit</w:t>
      </w:r>
      <w:r w:rsidR="0044608F">
        <w:t>’s majority opinions have</w:t>
      </w:r>
      <w:r>
        <w:t xml:space="preserve"> </w:t>
      </w:r>
      <w:r w:rsidR="00892787">
        <w:t xml:space="preserve">relied </w:t>
      </w:r>
      <w:r>
        <w:t xml:space="preserve">and unlike </w:t>
      </w:r>
      <w:r w:rsidR="0044608F">
        <w:t xml:space="preserve">the </w:t>
      </w:r>
      <w:r>
        <w:t>issue preclusion doctrine</w:t>
      </w:r>
      <w:r w:rsidR="0044608F">
        <w:t xml:space="preserve"> invoked by Judges Newman and O’Malley</w:t>
      </w:r>
      <w:r>
        <w:t>, t</w:t>
      </w:r>
      <w:r w:rsidR="000B7062">
        <w:t xml:space="preserve">he </w:t>
      </w:r>
      <w:r w:rsidR="00FC3495">
        <w:t xml:space="preserve">doctrine of </w:t>
      </w:r>
      <w:r w:rsidR="000B7062">
        <w:t>l</w:t>
      </w:r>
      <w:r w:rsidR="006033F3">
        <w:t>aw of the case</w:t>
      </w:r>
      <w:r w:rsidR="000B7062">
        <w:t xml:space="preserve"> </w:t>
      </w:r>
      <w:r>
        <w:t>address</w:t>
      </w:r>
      <w:r w:rsidR="00A572F7">
        <w:t>es</w:t>
      </w:r>
      <w:r w:rsidR="000B7062">
        <w:t xml:space="preserve"> the precise question with which the Federal Circuit has struggled in </w:t>
      </w:r>
      <w:r w:rsidR="00FC3495">
        <w:t>its recent decisions</w:t>
      </w:r>
      <w:r w:rsidR="00836E2F">
        <w:t>:  S</w:t>
      </w:r>
      <w:r w:rsidR="000B7062">
        <w:t xml:space="preserve">hould </w:t>
      </w:r>
      <w:r>
        <w:t>a</w:t>
      </w:r>
      <w:r w:rsidR="000B7062">
        <w:t xml:space="preserve"> court reconsider </w:t>
      </w:r>
      <w:r w:rsidR="00FC3495">
        <w:t>a</w:t>
      </w:r>
      <w:r w:rsidR="000B7062">
        <w:t xml:space="preserve"> prior ruli</w:t>
      </w:r>
      <w:r>
        <w:t>ng</w:t>
      </w:r>
      <w:r w:rsidR="000B7062">
        <w:t xml:space="preserve"> in light of an intervening event, such as the PTO’s invalidation of </w:t>
      </w:r>
      <w:r w:rsidR="00A572F7">
        <w:t>a</w:t>
      </w:r>
      <w:r w:rsidR="000B7062">
        <w:t xml:space="preserve"> patent?  </w:t>
      </w:r>
      <w:r w:rsidR="00064F1E">
        <w:t>Under t</w:t>
      </w:r>
      <w:r w:rsidR="001D3F8F">
        <w:t>he l</w:t>
      </w:r>
      <w:r w:rsidR="001C3B14">
        <w:t xml:space="preserve">aw of the case </w:t>
      </w:r>
      <w:r w:rsidR="00415F10">
        <w:t>doctrine</w:t>
      </w:r>
      <w:r w:rsidR="00064F1E">
        <w:t>,</w:t>
      </w:r>
      <w:r w:rsidR="00415F10">
        <w:t xml:space="preserve"> </w:t>
      </w:r>
      <w:r w:rsidR="00C90E03">
        <w:t xml:space="preserve">a decision on a particular issue </w:t>
      </w:r>
      <w:r w:rsidR="00FC3495">
        <w:t xml:space="preserve">should </w:t>
      </w:r>
      <w:r w:rsidR="00C90E03">
        <w:t>be followed in all subsequent proceedings in the same case</w:t>
      </w:r>
      <w:r w:rsidR="00C153C3">
        <w:t xml:space="preserve"> </w:t>
      </w:r>
      <w:r w:rsidR="00C90E03">
        <w:t>unless</w:t>
      </w:r>
      <w:r w:rsidR="00FC3495">
        <w:t xml:space="preserve"> “exceptional circumstances” exist.</w:t>
      </w:r>
      <w:r w:rsidR="00FC3495">
        <w:rPr>
          <w:rStyle w:val="FootnoteReference"/>
        </w:rPr>
        <w:footnoteReference w:id="310"/>
      </w:r>
      <w:r w:rsidR="00836E2F">
        <w:t xml:space="preserve">  F</w:t>
      </w:r>
      <w:r w:rsidR="00FC3495">
        <w:t xml:space="preserve">or instance, if a </w:t>
      </w:r>
      <w:r w:rsidR="00C153C3">
        <w:t>prior</w:t>
      </w:r>
      <w:r w:rsidR="00C90E03">
        <w:t xml:space="preserve"> decision </w:t>
      </w:r>
      <w:r w:rsidR="00C153C3">
        <w:t>“</w:t>
      </w:r>
      <w:r w:rsidR="00C90E03">
        <w:t>was clearly erroneous</w:t>
      </w:r>
      <w:r w:rsidR="00C153C3">
        <w:t>”</w:t>
      </w:r>
      <w:r w:rsidR="00C90E03">
        <w:t xml:space="preserve"> and</w:t>
      </w:r>
      <w:r w:rsidR="00C153C3">
        <w:t xml:space="preserve"> to adhere to it “</w:t>
      </w:r>
      <w:r w:rsidR="00FC3495">
        <w:t>would work a manifest injustice,</w:t>
      </w:r>
      <w:r w:rsidR="00C90E03">
        <w:t>”</w:t>
      </w:r>
      <w:r w:rsidR="00FC3495">
        <w:t xml:space="preserve"> reconsideration of that </w:t>
      </w:r>
      <w:r w:rsidR="002351D7">
        <w:t>decision</w:t>
      </w:r>
      <w:r w:rsidR="00FC3495">
        <w:t xml:space="preserve"> may be warranted.</w:t>
      </w:r>
      <w:r w:rsidR="00C90E03">
        <w:rPr>
          <w:rStyle w:val="FootnoteReference"/>
        </w:rPr>
        <w:footnoteReference w:id="311"/>
      </w:r>
      <w:r w:rsidR="00C90E03">
        <w:t xml:space="preserve">  The decision to depart from </w:t>
      </w:r>
      <w:r w:rsidR="00171A5F">
        <w:lastRenderedPageBreak/>
        <w:t xml:space="preserve">the </w:t>
      </w:r>
      <w:r w:rsidR="00480FB0">
        <w:t xml:space="preserve">law of the case </w:t>
      </w:r>
      <w:r w:rsidR="001C3B14">
        <w:t>is a matter of discretion,</w:t>
      </w:r>
      <w:r w:rsidR="00927FA5">
        <w:rPr>
          <w:rStyle w:val="FootnoteReference"/>
        </w:rPr>
        <w:footnoteReference w:id="312"/>
      </w:r>
      <w:r w:rsidR="00FC3495">
        <w:t xml:space="preserve"> and as long as a case </w:t>
      </w:r>
      <w:r w:rsidR="001C3B14">
        <w:t xml:space="preserve">remains </w:t>
      </w:r>
      <w:r w:rsidR="00FC3495">
        <w:t>pending</w:t>
      </w:r>
      <w:r w:rsidR="001C3B14">
        <w:t xml:space="preserve">, the court has the power to </w:t>
      </w:r>
      <w:r w:rsidR="007D73DD">
        <w:t xml:space="preserve">alter </w:t>
      </w:r>
      <w:r w:rsidR="00FC3495">
        <w:t>its</w:t>
      </w:r>
      <w:r w:rsidR="007D73DD">
        <w:t xml:space="preserve"> earlier rulings.</w:t>
      </w:r>
      <w:r w:rsidR="007D73DD">
        <w:rPr>
          <w:rStyle w:val="FootnoteReference"/>
        </w:rPr>
        <w:footnoteReference w:id="313"/>
      </w:r>
      <w:r w:rsidR="007D73DD">
        <w:t xml:space="preserve">  </w:t>
      </w:r>
    </w:p>
    <w:p w14:paraId="77FCAE99" w14:textId="20359359" w:rsidR="00011CB3" w:rsidRDefault="00476949" w:rsidP="00D622BC">
      <w:pPr>
        <w:tabs>
          <w:tab w:val="left" w:pos="360"/>
        </w:tabs>
        <w:jc w:val="both"/>
      </w:pPr>
      <w:r>
        <w:t>Law of the case is a common law doctrine</w:t>
      </w:r>
      <w:r w:rsidR="00336B1D">
        <w:t>.  It</w:t>
      </w:r>
      <w:r>
        <w:t xml:space="preserve"> </w:t>
      </w:r>
      <w:r w:rsidR="007A395A">
        <w:t xml:space="preserve">is </w:t>
      </w:r>
      <w:r>
        <w:t>per</w:t>
      </w:r>
      <w:r w:rsidR="00336B1D">
        <w:t>haps most akin to stare decisis,</w:t>
      </w:r>
      <w:r w:rsidR="00336B1D">
        <w:rPr>
          <w:rStyle w:val="FootnoteReference"/>
        </w:rPr>
        <w:footnoteReference w:id="314"/>
      </w:r>
      <w:r w:rsidR="00336B1D">
        <w:t xml:space="preserve"> but instead of ensuring decisional consistency from one case to another, law of the case ensures decisional consistency within a particular case.</w:t>
      </w:r>
      <w:r>
        <w:t xml:space="preserve">  Under both doctrines, a prior decision </w:t>
      </w:r>
      <w:r w:rsidR="00336B1D">
        <w:t>is</w:t>
      </w:r>
      <w:r>
        <w:t xml:space="preserve"> persuasive but not necessarily binding</w:t>
      </w:r>
      <w:r w:rsidR="00336B1D">
        <w:t xml:space="preserve"> on the court that rendered it</w:t>
      </w:r>
      <w:r>
        <w:t>.</w:t>
      </w:r>
      <w:r>
        <w:rPr>
          <w:rStyle w:val="FootnoteReference"/>
        </w:rPr>
        <w:footnoteReference w:id="315"/>
      </w:r>
      <w:r w:rsidR="00336B1D">
        <w:t xml:space="preserve">  Under law of the case doctrine, a court is justified in reconsidering its prior decision if the relevant law or facts have changed since the prior decision.</w:t>
      </w:r>
      <w:bookmarkStart w:id="42" w:name="_Ref430714204"/>
      <w:r w:rsidR="00336B1D">
        <w:rPr>
          <w:rStyle w:val="FootnoteReference"/>
        </w:rPr>
        <w:footnoteReference w:id="316"/>
      </w:r>
      <w:bookmarkEnd w:id="42"/>
      <w:r w:rsidR="00336B1D">
        <w:t xml:space="preserve">  Thus, </w:t>
      </w:r>
      <w:r w:rsidR="00011CB3">
        <w:t>law of the case plainly offers a</w:t>
      </w:r>
      <w:r w:rsidR="00FC3495">
        <w:t xml:space="preserve"> court </w:t>
      </w:r>
      <w:r w:rsidR="003A7FAE">
        <w:t xml:space="preserve">discretion to depart from </w:t>
      </w:r>
      <w:r w:rsidR="00FC3495">
        <w:t>a</w:t>
      </w:r>
      <w:r w:rsidR="003A7FAE">
        <w:t xml:space="preserve"> prior ruling </w:t>
      </w:r>
      <w:r w:rsidR="00A05414">
        <w:t xml:space="preserve">rejecting a </w:t>
      </w:r>
      <w:r w:rsidR="00336B1D">
        <w:t xml:space="preserve">challenge to patent </w:t>
      </w:r>
      <w:r w:rsidR="00A05414">
        <w:t xml:space="preserve">validity </w:t>
      </w:r>
      <w:r w:rsidR="00FC3495">
        <w:t>when</w:t>
      </w:r>
      <w:r w:rsidR="00336B1D">
        <w:t xml:space="preserve">, since that prior decision, </w:t>
      </w:r>
      <w:r w:rsidR="00FC3495">
        <w:t xml:space="preserve">the PTO </w:t>
      </w:r>
      <w:r w:rsidR="00336B1D">
        <w:t xml:space="preserve">has </w:t>
      </w:r>
      <w:r w:rsidR="002351D7">
        <w:t>invalidate</w:t>
      </w:r>
      <w:r w:rsidR="00336B1D">
        <w:t>d</w:t>
      </w:r>
      <w:r w:rsidR="002351D7">
        <w:t xml:space="preserve"> the patent</w:t>
      </w:r>
      <w:r w:rsidR="00336B1D">
        <w:t xml:space="preserve">—a critically important change in factual circumstances.  </w:t>
      </w:r>
    </w:p>
    <w:p w14:paraId="69C4D0D7" w14:textId="33C32D00" w:rsidR="00D622BC" w:rsidRDefault="000B7062" w:rsidP="00D622BC">
      <w:pPr>
        <w:tabs>
          <w:tab w:val="left" w:pos="360"/>
        </w:tabs>
        <w:jc w:val="both"/>
      </w:pPr>
      <w:r>
        <w:t xml:space="preserve">Remarkably, </w:t>
      </w:r>
      <w:r w:rsidR="000249B6">
        <w:t xml:space="preserve">several cases the Federal Circuit has cited in developing </w:t>
      </w:r>
      <w:r w:rsidR="00FC3495">
        <w:t>its</w:t>
      </w:r>
      <w:r w:rsidR="000249B6">
        <w:t xml:space="preserve"> absolute finality rul</w:t>
      </w:r>
      <w:r>
        <w:t>e support the idea of resolving</w:t>
      </w:r>
      <w:r w:rsidR="000249B6">
        <w:t xml:space="preserve"> </w:t>
      </w:r>
      <w:r w:rsidR="00D15405">
        <w:t xml:space="preserve">conflicts between the courts and the PTO </w:t>
      </w:r>
      <w:r w:rsidR="000249B6">
        <w:t xml:space="preserve">via law of the case doctrine.  </w:t>
      </w:r>
      <w:r w:rsidR="00FC3495">
        <w:rPr>
          <w:i/>
        </w:rPr>
        <w:t>L</w:t>
      </w:r>
      <w:r w:rsidR="000249B6" w:rsidRPr="00D622BC">
        <w:rPr>
          <w:i/>
        </w:rPr>
        <w:t>uminous Unit Co. v. Freeman-Sweet Co.</w:t>
      </w:r>
      <w:r w:rsidR="00D622BC">
        <w:t>, a</w:t>
      </w:r>
      <w:r w:rsidR="000249B6">
        <w:t xml:space="preserve"> Seventh Circuit case cited in </w:t>
      </w:r>
      <w:r w:rsidR="000249B6">
        <w:rPr>
          <w:i/>
        </w:rPr>
        <w:t>Fresenius</w:t>
      </w:r>
      <w:r>
        <w:t>,</w:t>
      </w:r>
      <w:r w:rsidR="00FC3495">
        <w:t xml:space="preserve"> provides one example.</w:t>
      </w:r>
      <w:r w:rsidR="00FC3495">
        <w:rPr>
          <w:rStyle w:val="FootnoteReference"/>
        </w:rPr>
        <w:footnoteReference w:id="317"/>
      </w:r>
      <w:r w:rsidR="00FC3495">
        <w:t xml:space="preserve">  In that case,</w:t>
      </w:r>
      <w:r w:rsidR="00D622BC">
        <w:t xml:space="preserve"> </w:t>
      </w:r>
      <w:r w:rsidR="00D15405">
        <w:t>the</w:t>
      </w:r>
      <w:r w:rsidR="00D622BC">
        <w:t xml:space="preserve"> trial court found a patent to be infringed</w:t>
      </w:r>
      <w:r w:rsidR="002351D7">
        <w:t xml:space="preserve"> and rejected the infringer’s argument that the patent was invalid</w:t>
      </w:r>
      <w:r w:rsidR="00D622BC">
        <w:t>.</w:t>
      </w:r>
      <w:r w:rsidR="00FC3495">
        <w:rPr>
          <w:rStyle w:val="FootnoteReference"/>
        </w:rPr>
        <w:footnoteReference w:id="318"/>
      </w:r>
      <w:r w:rsidR="000249B6">
        <w:t xml:space="preserve"> </w:t>
      </w:r>
      <w:r w:rsidR="00D622BC">
        <w:t xml:space="preserve"> </w:t>
      </w:r>
      <w:r w:rsidR="000249B6">
        <w:t xml:space="preserve">The Seventh Circuit affirmed </w:t>
      </w:r>
      <w:r w:rsidR="00D372D5">
        <w:t xml:space="preserve">on the issues of validity and infringement </w:t>
      </w:r>
      <w:r w:rsidR="000249B6">
        <w:t>and remanded for an accounting of damages.</w:t>
      </w:r>
      <w:r w:rsidR="00CF4055">
        <w:rPr>
          <w:rStyle w:val="FootnoteReference"/>
        </w:rPr>
        <w:footnoteReference w:id="319"/>
      </w:r>
      <w:r w:rsidR="000249B6">
        <w:t xml:space="preserve">  Meanwhile, the patent holder had surrendered the infringed patent to the PTO and obtained a reissue patent.</w:t>
      </w:r>
      <w:r w:rsidR="00CF4055">
        <w:rPr>
          <w:rStyle w:val="FootnoteReference"/>
        </w:rPr>
        <w:footnoteReference w:id="320"/>
      </w:r>
      <w:r w:rsidR="000249B6">
        <w:t xml:space="preserve">  When the</w:t>
      </w:r>
      <w:r w:rsidR="00CF4055">
        <w:t xml:space="preserve"> trial court learned of the surrender, it vacated its prior decision</w:t>
      </w:r>
      <w:r>
        <w:t xml:space="preserve"> </w:t>
      </w:r>
      <w:r w:rsidR="002351D7">
        <w:t>on</w:t>
      </w:r>
      <w:r>
        <w:t xml:space="preserve"> validity</w:t>
      </w:r>
      <w:r w:rsidR="00CF4055">
        <w:t xml:space="preserve">, refusing to be bound by that decision </w:t>
      </w:r>
      <w:r>
        <w:t>as</w:t>
      </w:r>
      <w:r w:rsidR="00CF4055">
        <w:t xml:space="preserve"> the law of the case.</w:t>
      </w:r>
      <w:r w:rsidR="00CF4055">
        <w:rPr>
          <w:rStyle w:val="FootnoteReference"/>
        </w:rPr>
        <w:footnoteReference w:id="321"/>
      </w:r>
      <w:r w:rsidR="00CF4055">
        <w:t xml:space="preserve">  The Seventh Circuit affirmed, noting that law of the case is “</w:t>
      </w:r>
      <w:r w:rsidR="00CF4055" w:rsidRPr="00CF4055">
        <w:t>not an inexorable rule, and should not be applied where the law as announced is clearly erroneous, and establishes a practice which is contrary to the best interests of society, and works a manifest injustice</w:t>
      </w:r>
      <w:r w:rsidR="00CF4055">
        <w:t>.”</w:t>
      </w:r>
      <w:r w:rsidR="00CF4055">
        <w:rPr>
          <w:rStyle w:val="FootnoteReference"/>
        </w:rPr>
        <w:footnoteReference w:id="322"/>
      </w:r>
      <w:r w:rsidR="00CF4055">
        <w:t xml:space="preserve">  The court noted that </w:t>
      </w:r>
      <w:r w:rsidR="00CF4055">
        <w:lastRenderedPageBreak/>
        <w:t>w</w:t>
      </w:r>
      <w:r w:rsidR="00D622BC">
        <w:t>hen the plaintiff surrende</w:t>
      </w:r>
      <w:r w:rsidR="00CF4055">
        <w:t>red the patent</w:t>
      </w:r>
      <w:r w:rsidR="00D622BC">
        <w:t xml:space="preserve"> it “lost its right to prosecute its pending suit to final decree” and</w:t>
      </w:r>
      <w:r w:rsidR="00FC3495">
        <w:t xml:space="preserve"> that, despite the prior ruling </w:t>
      </w:r>
      <w:r w:rsidR="0044608F">
        <w:t xml:space="preserve">in favor of the patent holder on the issue </w:t>
      </w:r>
      <w:r w:rsidR="00FC3495">
        <w:t>of validity,</w:t>
      </w:r>
      <w:r w:rsidR="00D622BC">
        <w:t xml:space="preserve"> “it became the duty of the court to dismiss the suit.”</w:t>
      </w:r>
      <w:r w:rsidR="00D622BC">
        <w:rPr>
          <w:rStyle w:val="FootnoteReference"/>
        </w:rPr>
        <w:footnoteReference w:id="323"/>
      </w:r>
      <w:r w:rsidR="00D622BC">
        <w:t xml:space="preserve"> </w:t>
      </w:r>
    </w:p>
    <w:p w14:paraId="42E1DC82" w14:textId="79457505" w:rsidR="00CF4055" w:rsidRDefault="00CF4055" w:rsidP="00CF4055">
      <w:pPr>
        <w:tabs>
          <w:tab w:val="left" w:pos="360"/>
        </w:tabs>
        <w:jc w:val="both"/>
      </w:pPr>
      <w:r>
        <w:t xml:space="preserve">Likewise, in </w:t>
      </w:r>
      <w:r>
        <w:rPr>
          <w:i/>
        </w:rPr>
        <w:t>Mendenhall</w:t>
      </w:r>
      <w:r>
        <w:t xml:space="preserve">, </w:t>
      </w:r>
      <w:r w:rsidR="00FC3495">
        <w:t xml:space="preserve">the Federal Circuit preclusion case </w:t>
      </w:r>
      <w:r w:rsidR="00D372D5">
        <w:t xml:space="preserve">that was central to the court’s adoption of the absolute finality rule in </w:t>
      </w:r>
      <w:r w:rsidR="00D372D5">
        <w:rPr>
          <w:i/>
        </w:rPr>
        <w:t>Fresenius</w:t>
      </w:r>
      <w:r>
        <w:t xml:space="preserve">, </w:t>
      </w:r>
      <w:r w:rsidR="00FC3495">
        <w:t xml:space="preserve">the court addressed in dicta an alternative argument grounded in law of the case.  </w:t>
      </w:r>
      <w:r w:rsidR="00D372D5">
        <w:t>Specifically, t</w:t>
      </w:r>
      <w:r w:rsidR="00FC3495">
        <w:t xml:space="preserve">he patent holder argued that the Federal Circuit’s previous ruling </w:t>
      </w:r>
      <w:r w:rsidR="00892787">
        <w:t xml:space="preserve">rejecting the validity challenge </w:t>
      </w:r>
      <w:r w:rsidR="00FC3495">
        <w:t>was the law of the case and t</w:t>
      </w:r>
      <w:r w:rsidR="000B7062">
        <w:t>herefore immune from reconsideration</w:t>
      </w:r>
      <w:r w:rsidR="00A05414">
        <w:t xml:space="preserve"> despite the</w:t>
      </w:r>
      <w:r w:rsidR="00064F1E">
        <w:t xml:space="preserve"> subsequent ruling of invalidity in another case</w:t>
      </w:r>
      <w:r w:rsidR="00FC3495">
        <w:t>.</w:t>
      </w:r>
      <w:r w:rsidR="00FC3495">
        <w:rPr>
          <w:rStyle w:val="FootnoteReference"/>
        </w:rPr>
        <w:footnoteReference w:id="324"/>
      </w:r>
      <w:r w:rsidR="00FC3495">
        <w:t xml:space="preserve">  </w:t>
      </w:r>
      <w:r w:rsidR="00D372D5">
        <w:t>But t</w:t>
      </w:r>
      <w:r w:rsidR="00FC3495">
        <w:t xml:space="preserve">he </w:t>
      </w:r>
      <w:r w:rsidR="001A0431">
        <w:t>Federal Circuit disagreed</w:t>
      </w:r>
      <w:r w:rsidR="00FC3495">
        <w:t>,</w:t>
      </w:r>
      <w:r>
        <w:t xml:space="preserve"> </w:t>
      </w:r>
      <w:r w:rsidR="00AD3197">
        <w:t>noting</w:t>
      </w:r>
      <w:r>
        <w:t xml:space="preserve"> that the subsequent ruling of </w:t>
      </w:r>
      <w:r w:rsidRPr="00064F1E">
        <w:t>invalidity</w:t>
      </w:r>
      <w:r w:rsidR="00064F1E">
        <w:t xml:space="preserve"> </w:t>
      </w:r>
      <w:r w:rsidR="000B7062">
        <w:t>qualified as “</w:t>
      </w:r>
      <w:r>
        <w:t>an exceptional circumstance” warranting reconsideration</w:t>
      </w:r>
      <w:r w:rsidR="001A0431">
        <w:t xml:space="preserve"> of the earlier ruling rejecting a validity challenge</w:t>
      </w:r>
      <w:r>
        <w:t>.</w:t>
      </w:r>
      <w:r>
        <w:rPr>
          <w:rStyle w:val="FootnoteReference"/>
        </w:rPr>
        <w:footnoteReference w:id="325"/>
      </w:r>
      <w:r>
        <w:t xml:space="preserve">  </w:t>
      </w:r>
    </w:p>
    <w:p w14:paraId="2C1117CF" w14:textId="56F2C762" w:rsidR="005C6FE6" w:rsidRDefault="00892787" w:rsidP="005C6FE6">
      <w:pPr>
        <w:tabs>
          <w:tab w:val="left" w:pos="360"/>
        </w:tabs>
        <w:jc w:val="both"/>
      </w:pPr>
      <w:r>
        <w:t>A</w:t>
      </w:r>
      <w:r w:rsidR="00FC3495">
        <w:t>lthough the F</w:t>
      </w:r>
      <w:r w:rsidR="00064F1E">
        <w:t xml:space="preserve">ederal Circuit has not relied </w:t>
      </w:r>
      <w:r w:rsidR="00FC3495">
        <w:t xml:space="preserve">on the law of the case doctrine in its recent decisions involving conflicting rulings </w:t>
      </w:r>
      <w:r w:rsidR="0044608F">
        <w:t>between</w:t>
      </w:r>
      <w:r w:rsidR="00FC3495">
        <w:t xml:space="preserve"> a court and the PTO</w:t>
      </w:r>
      <w:r w:rsidR="00064F1E">
        <w:t>,</w:t>
      </w:r>
      <w:r w:rsidR="00FC3495">
        <w:t xml:space="preserve"> it is </w:t>
      </w:r>
      <w:r w:rsidR="00A572F7">
        <w:t>possible to</w:t>
      </w:r>
      <w:r w:rsidR="00751542">
        <w:t xml:space="preserve"> recast th</w:t>
      </w:r>
      <w:r w:rsidR="00064F1E">
        <w:t xml:space="preserve">e absolute finality rule in law of the </w:t>
      </w:r>
      <w:r w:rsidR="00751542">
        <w:t xml:space="preserve">case terms.  </w:t>
      </w:r>
      <w:r w:rsidR="00A572F7">
        <w:t>Specifically</w:t>
      </w:r>
      <w:r w:rsidR="00751542">
        <w:t xml:space="preserve">, </w:t>
      </w:r>
      <w:r w:rsidR="00A572F7">
        <w:t xml:space="preserve">the Federal Circuit’s opinions in cases such as </w:t>
      </w:r>
      <w:r w:rsidR="00A572F7">
        <w:rPr>
          <w:i/>
        </w:rPr>
        <w:t>Fres</w:t>
      </w:r>
      <w:r w:rsidR="00D372D5">
        <w:rPr>
          <w:i/>
        </w:rPr>
        <w:t>e</w:t>
      </w:r>
      <w:r w:rsidR="00A572F7">
        <w:rPr>
          <w:i/>
        </w:rPr>
        <w:t>nius</w:t>
      </w:r>
      <w:r w:rsidR="00A572F7">
        <w:t xml:space="preserve"> </w:t>
      </w:r>
      <w:r w:rsidR="003A7FAE">
        <w:t xml:space="preserve">could be read </w:t>
      </w:r>
      <w:r w:rsidR="00FC3495">
        <w:t>as holding</w:t>
      </w:r>
      <w:r w:rsidR="00751542">
        <w:t xml:space="preserve"> that a PTO decision of invalidity is </w:t>
      </w:r>
      <w:r w:rsidR="00751542">
        <w:rPr>
          <w:i/>
        </w:rPr>
        <w:t>always</w:t>
      </w:r>
      <w:r w:rsidR="00751542">
        <w:t xml:space="preserve"> an exceptional circumstance </w:t>
      </w:r>
      <w:r w:rsidR="00A572F7">
        <w:t xml:space="preserve">that warrants overturning a prior court decision </w:t>
      </w:r>
      <w:r>
        <w:t>rejecting a</w:t>
      </w:r>
      <w:r w:rsidR="00A572F7">
        <w:t xml:space="preserve"> validity</w:t>
      </w:r>
      <w:r w:rsidR="005C6FE6">
        <w:t xml:space="preserve"> </w:t>
      </w:r>
      <w:r>
        <w:t>challenge in</w:t>
      </w:r>
      <w:r w:rsidR="005C6FE6">
        <w:t xml:space="preserve"> a pending case.</w:t>
      </w:r>
      <w:r w:rsidR="00FC3495">
        <w:t xml:space="preserve">  Yet </w:t>
      </w:r>
      <w:r w:rsidR="00064F1E">
        <w:t xml:space="preserve">the </w:t>
      </w:r>
      <w:r w:rsidR="00FC3495">
        <w:t xml:space="preserve">law of the case doctrine </w:t>
      </w:r>
      <w:r w:rsidR="00107EFA">
        <w:t xml:space="preserve">is directed toward the court’s sound discretion and </w:t>
      </w:r>
      <w:r>
        <w:t>encourages</w:t>
      </w:r>
      <w:r w:rsidR="00107EFA">
        <w:t xml:space="preserve"> the court to consider whether departing from a prior ruling would be fair or efficient.</w:t>
      </w:r>
      <w:r w:rsidR="00107EFA">
        <w:rPr>
          <w:rStyle w:val="FootnoteReference"/>
        </w:rPr>
        <w:footnoteReference w:id="326"/>
      </w:r>
      <w:r w:rsidR="005C6FE6">
        <w:t xml:space="preserve">  </w:t>
      </w:r>
      <w:r w:rsidR="00107EFA">
        <w:t xml:space="preserve">Those considerations are wholly absent from the Federal Circuit’s recent opinions.  If the court were to ground its analysis in law of the case doctrine, rather than relying on arguably inapposite case law, it would be forced to engage considerations </w:t>
      </w:r>
      <w:r w:rsidR="00064F1E">
        <w:t>of fairness and litigation efficiency</w:t>
      </w:r>
      <w:r>
        <w:t>,</w:t>
      </w:r>
      <w:r w:rsidR="00064F1E">
        <w:t xml:space="preserve"> </w:t>
      </w:r>
      <w:r w:rsidR="00107EFA">
        <w:t xml:space="preserve">and an alternative to the absolute finality rule might emerge.  </w:t>
      </w:r>
    </w:p>
    <w:p w14:paraId="05AE8755" w14:textId="5E9FF658" w:rsidR="00817CCF" w:rsidRDefault="00D831F1" w:rsidP="00817CCF">
      <w:pPr>
        <w:keepNext/>
        <w:tabs>
          <w:tab w:val="left" w:pos="360"/>
        </w:tabs>
        <w:ind w:left="360" w:hanging="360"/>
        <w:jc w:val="center"/>
      </w:pPr>
      <w:r>
        <w:t>C</w:t>
      </w:r>
      <w:r w:rsidR="00817CCF">
        <w:t>.</w:t>
      </w:r>
      <w:r w:rsidR="00817CCF">
        <w:tab/>
        <w:t>Fairness</w:t>
      </w:r>
      <w:r>
        <w:t xml:space="preserve"> </w:t>
      </w:r>
    </w:p>
    <w:p w14:paraId="7DA65338" w14:textId="0BF2391A" w:rsidR="00107EFA" w:rsidRDefault="005C6FE6" w:rsidP="00107EFA">
      <w:pPr>
        <w:jc w:val="both"/>
      </w:pPr>
      <w:r>
        <w:t>Under the l</w:t>
      </w:r>
      <w:r w:rsidR="00F935A3">
        <w:t xml:space="preserve">aw of the case </w:t>
      </w:r>
      <w:r>
        <w:t>doctrine</w:t>
      </w:r>
      <w:r w:rsidR="00F935A3">
        <w:t>,</w:t>
      </w:r>
      <w:r>
        <w:t xml:space="preserve"> a court </w:t>
      </w:r>
      <w:r w:rsidR="00064F1E">
        <w:t>can</w:t>
      </w:r>
      <w:r>
        <w:t xml:space="preserve"> depart from</w:t>
      </w:r>
      <w:r w:rsidR="00064F1E">
        <w:t xml:space="preserve"> its prior ruling if </w:t>
      </w:r>
      <w:r>
        <w:t xml:space="preserve">it would be manifestly unfair to adhere to it.  Applying </w:t>
      </w:r>
      <w:r w:rsidR="00D831F1">
        <w:t>fairness concerns</w:t>
      </w:r>
      <w:r>
        <w:t xml:space="preserve"> to cases involving conflicting decisions on patent validity by the courts and the PTO is difficult.  On one hand, considerations of fairness suggest that accused infringers should be allowed to invoke PTO decisions of invalidity at pra</w:t>
      </w:r>
      <w:r w:rsidR="00892787">
        <w:t xml:space="preserve">ctically any point in the case </w:t>
      </w:r>
      <w:r>
        <w:t>to protect them from paying damages on a now-invalidated patent.</w:t>
      </w:r>
      <w:r w:rsidR="00107EFA">
        <w:rPr>
          <w:rStyle w:val="FootnoteReference"/>
        </w:rPr>
        <w:footnoteReference w:id="327"/>
      </w:r>
      <w:r w:rsidR="004F5849">
        <w:t xml:space="preserve">  </w:t>
      </w:r>
      <w:r w:rsidR="004F5849">
        <w:lastRenderedPageBreak/>
        <w:t xml:space="preserve">After all, the PTO’s invalidity determination is essentially a concession that </w:t>
      </w:r>
      <w:r w:rsidR="0044608F">
        <w:t>the patent</w:t>
      </w:r>
      <w:r w:rsidR="004F5849">
        <w:t xml:space="preserve"> never should have issued in the first place, so it seems logical to give that determination retroactive effect.  That is precisely what happened i</w:t>
      </w:r>
      <w:r w:rsidR="003043E7">
        <w:t xml:space="preserve">n </w:t>
      </w:r>
      <w:r w:rsidR="00F935A3">
        <w:rPr>
          <w:i/>
        </w:rPr>
        <w:t xml:space="preserve">Fresenius </w:t>
      </w:r>
      <w:r w:rsidR="00F935A3">
        <w:t xml:space="preserve">and </w:t>
      </w:r>
      <w:proofErr w:type="spellStart"/>
      <w:r w:rsidR="00F935A3" w:rsidRPr="00605A04">
        <w:rPr>
          <w:i/>
        </w:rPr>
        <w:t>ePlus</w:t>
      </w:r>
      <w:proofErr w:type="spellEnd"/>
      <w:r w:rsidR="004F5849">
        <w:t xml:space="preserve"> due to the absolute finality rule.  In both cases, court proceedings on validity were concluded, but the accused infringers were able to rely on the PTO’s decision of invalidity to overturn the court’s judgment </w:t>
      </w:r>
      <w:r w:rsidR="002351D7">
        <w:t>in favor of the patent holder</w:t>
      </w:r>
      <w:r w:rsidR="00F935A3">
        <w:t>.</w:t>
      </w:r>
      <w:r w:rsidR="009B5C72">
        <w:t xml:space="preserve">  </w:t>
      </w:r>
      <w:r w:rsidR="00F935A3">
        <w:t xml:space="preserve">  </w:t>
      </w:r>
    </w:p>
    <w:p w14:paraId="2512E095" w14:textId="1AB09B06" w:rsidR="005C6FE6" w:rsidRDefault="005C6FE6" w:rsidP="00817CCF">
      <w:pPr>
        <w:tabs>
          <w:tab w:val="left" w:pos="360"/>
        </w:tabs>
        <w:jc w:val="both"/>
      </w:pPr>
      <w:r>
        <w:t xml:space="preserve">On the other hand, </w:t>
      </w:r>
      <w:r w:rsidR="00107EFA">
        <w:t>the absolute finality rule</w:t>
      </w:r>
      <w:r>
        <w:t xml:space="preserve"> </w:t>
      </w:r>
      <w:r w:rsidR="00107EFA">
        <w:t>can</w:t>
      </w:r>
      <w:r w:rsidR="00064F1E">
        <w:t xml:space="preserve"> give</w:t>
      </w:r>
      <w:r>
        <w:t xml:space="preserve"> accused infringers two chances to prove invalidity</w:t>
      </w:r>
      <w:r w:rsidR="0044608F">
        <w:t xml:space="preserve">, which </w:t>
      </w:r>
      <w:r w:rsidR="007C400A">
        <w:t xml:space="preserve">itself </w:t>
      </w:r>
      <w:r w:rsidR="0044608F">
        <w:t>seems unfair</w:t>
      </w:r>
      <w:r>
        <w:t xml:space="preserve">. </w:t>
      </w:r>
      <w:r w:rsidR="00D372D5">
        <w:t xml:space="preserve"> </w:t>
      </w:r>
      <w:r>
        <w:t>Fresenius, for instance, sought reexamination only after an adverse ruling on summary judgment.</w:t>
      </w:r>
      <w:bookmarkStart w:id="43" w:name="_Ref300591971"/>
      <w:r>
        <w:rPr>
          <w:rStyle w:val="FootnoteReference"/>
        </w:rPr>
        <w:footnoteReference w:id="328"/>
      </w:r>
      <w:bookmarkEnd w:id="43"/>
      <w:r w:rsidR="00686E66">
        <w:t xml:space="preserve">  </w:t>
      </w:r>
      <w:r w:rsidR="00107EFA">
        <w:t>Yet</w:t>
      </w:r>
      <w:r w:rsidR="00686E66">
        <w:t xml:space="preserve"> the Federal Circuit approved </w:t>
      </w:r>
      <w:r w:rsidR="00A05414">
        <w:t>that</w:t>
      </w:r>
      <w:r w:rsidR="00686E66">
        <w:t xml:space="preserve"> maneuver, allowing Fresenius to rely on the PTO’s even</w:t>
      </w:r>
      <w:r w:rsidR="00892787">
        <w:t xml:space="preserve">tual decision of invalidity to </w:t>
      </w:r>
      <w:r w:rsidR="00686E66">
        <w:t>void the court’s finding</w:t>
      </w:r>
      <w:r w:rsidR="00107EFA">
        <w:t xml:space="preserve"> of</w:t>
      </w:r>
      <w:r w:rsidR="00686E66">
        <w:t xml:space="preserve"> infringement and award</w:t>
      </w:r>
      <w:r w:rsidR="00107EFA">
        <w:t xml:space="preserve"> of</w:t>
      </w:r>
      <w:r w:rsidR="00686E66">
        <w:t xml:space="preserve"> damages.</w:t>
      </w:r>
      <w:r w:rsidR="00107EFA">
        <w:t xml:space="preserve">  </w:t>
      </w:r>
      <w:r w:rsidR="002351D7">
        <w:t>T</w:t>
      </w:r>
      <w:r w:rsidR="0033106F">
        <w:t>hose who think that the PT</w:t>
      </w:r>
      <w:r w:rsidR="006259BE">
        <w:t>O issues too many “bad” patents (</w:t>
      </w:r>
      <w:r w:rsidR="0033106F">
        <w:t>that is, patents on inventions that represent only marginal improv</w:t>
      </w:r>
      <w:r w:rsidR="006259BE">
        <w:t xml:space="preserve">ements in the state of the art) </w:t>
      </w:r>
      <w:r w:rsidR="000C1290">
        <w:t>might</w:t>
      </w:r>
      <w:r w:rsidR="0033106F">
        <w:t xml:space="preserve"> have no problem with allowing patent challengers multiple chances to invalidate a particular patent.</w:t>
      </w:r>
      <w:r w:rsidR="006A6456">
        <w:rPr>
          <w:rStyle w:val="FootnoteReference"/>
        </w:rPr>
        <w:footnoteReference w:id="329"/>
      </w:r>
      <w:r w:rsidR="0033106F">
        <w:t xml:space="preserve">  </w:t>
      </w:r>
      <w:r w:rsidR="009B5C72">
        <w:t>And indeed, the Supreme Court has often touted the public interest in facilitating validity challenges to questionable patents.</w:t>
      </w:r>
      <w:r w:rsidR="009B5C72">
        <w:rPr>
          <w:rStyle w:val="FootnoteReference"/>
        </w:rPr>
        <w:footnoteReference w:id="330"/>
      </w:r>
      <w:r w:rsidR="009B5C72">
        <w:t xml:space="preserve">  Yet, f</w:t>
      </w:r>
      <w:r w:rsidR="000C1290">
        <w:t>rom a procedural perspective,</w:t>
      </w:r>
      <w:r w:rsidR="0033106F">
        <w:t xml:space="preserve"> </w:t>
      </w:r>
      <w:r w:rsidR="007C400A">
        <w:t xml:space="preserve">giving a party the opportunity to twice litigate a single issue is unusual.  </w:t>
      </w:r>
      <w:r w:rsidR="00BB4F6A">
        <w:t>In</w:t>
      </w:r>
      <w:r w:rsidR="00BB4F6A">
        <w:rPr>
          <w:i/>
        </w:rPr>
        <w:t xml:space="preserve"> Blonder-Tongue</w:t>
      </w:r>
      <w:r w:rsidR="00BB4F6A">
        <w:t xml:space="preserve">, for </w:t>
      </w:r>
      <w:r w:rsidR="008137A5">
        <w:t>example</w:t>
      </w:r>
      <w:r w:rsidR="00BB4F6A">
        <w:t xml:space="preserve">, the </w:t>
      </w:r>
      <w:r w:rsidR="006259BE">
        <w:t xml:space="preserve">Supreme </w:t>
      </w:r>
      <w:r w:rsidR="00BB4F6A">
        <w:t xml:space="preserve">Court eliminated the requirement of mutuality </w:t>
      </w:r>
      <w:r w:rsidR="00892787">
        <w:t xml:space="preserve">as a prerequisite to preclusion </w:t>
      </w:r>
      <w:r w:rsidR="00BB4F6A">
        <w:t>because it was untenable “to afford a litigant more than one full and fair opportunity for judicial resolution of the same issue.”</w:t>
      </w:r>
      <w:r w:rsidR="00BB4F6A">
        <w:rPr>
          <w:rStyle w:val="FootnoteReference"/>
        </w:rPr>
        <w:footnoteReference w:id="331"/>
      </w:r>
      <w:r w:rsidR="00B12481">
        <w:t xml:space="preserve">  </w:t>
      </w:r>
      <w:r w:rsidR="009B5C72">
        <w:t xml:space="preserve">And in </w:t>
      </w:r>
      <w:proofErr w:type="spellStart"/>
      <w:r w:rsidR="009B5C72" w:rsidRPr="009B5C72">
        <w:rPr>
          <w:i/>
        </w:rPr>
        <w:t>Parklane</w:t>
      </w:r>
      <w:proofErr w:type="spellEnd"/>
      <w:r w:rsidR="009B5C72" w:rsidRPr="009B5C72">
        <w:rPr>
          <w:i/>
        </w:rPr>
        <w:t xml:space="preserve"> Hosiery Co. v. Shore</w:t>
      </w:r>
      <w:r w:rsidR="009B5C72">
        <w:t xml:space="preserve"> the Court approved of non-mutual offensive issue preclusion precisely because the defendants had “received a ‘full and fair’ opportunity to litigate their claims” in </w:t>
      </w:r>
      <w:r w:rsidR="006259BE">
        <w:t>an</w:t>
      </w:r>
      <w:r w:rsidR="009B5C72">
        <w:t xml:space="preserve"> earlier case.</w:t>
      </w:r>
      <w:r w:rsidR="009B5C72">
        <w:rPr>
          <w:rStyle w:val="FootnoteReference"/>
        </w:rPr>
        <w:footnoteReference w:id="332"/>
      </w:r>
      <w:r w:rsidR="007C400A">
        <w:t xml:space="preserve">  That said, because of the different standards of proof and claim construction in court and at the PTO, preclusion does not operate between the courts and the PTO, even if both </w:t>
      </w:r>
      <w:r w:rsidR="007C400A">
        <w:lastRenderedPageBreak/>
        <w:t>tribunals are deciding what appears to be the same issue—patent validity.  So, even though at first blush it may seem unfair to give a patent holder two chances to prove invalidity, the legal doctrine that normally</w:t>
      </w:r>
      <w:r w:rsidR="00214346">
        <w:t xml:space="preserve"> prohibits repeated litigation—</w:t>
      </w:r>
      <w:r w:rsidR="007C400A">
        <w:t>preclusion doctrine</w:t>
      </w:r>
      <w:r w:rsidR="00214346">
        <w:t>—</w:t>
      </w:r>
      <w:r w:rsidR="00393BDA">
        <w:t>does not disprove of repeat litigation in the court-PTO context.</w:t>
      </w:r>
    </w:p>
    <w:p w14:paraId="2A3B2D2A" w14:textId="440AA98A" w:rsidR="00DC2610" w:rsidRDefault="00892787" w:rsidP="00BB4F6A">
      <w:pPr>
        <w:tabs>
          <w:tab w:val="left" w:pos="360"/>
        </w:tabs>
        <w:jc w:val="both"/>
      </w:pPr>
      <w:r>
        <w:t>F</w:t>
      </w:r>
      <w:r w:rsidR="00064F1E">
        <w:t xml:space="preserve">airness concerns </w:t>
      </w:r>
      <w:r>
        <w:t xml:space="preserve">thus </w:t>
      </w:r>
      <w:r w:rsidR="00064F1E">
        <w:t xml:space="preserve">cut </w:t>
      </w:r>
      <w:r w:rsidR="00393BDA">
        <w:t>in many different ways</w:t>
      </w:r>
      <w:r w:rsidR="00064F1E">
        <w:t>.  I</w:t>
      </w:r>
      <w:r w:rsidR="00107EFA">
        <w:t xml:space="preserve">n </w:t>
      </w:r>
      <w:r w:rsidR="00393BDA">
        <w:t>an attempt to find some direction</w:t>
      </w:r>
      <w:r w:rsidR="00107EFA">
        <w:t>, a</w:t>
      </w:r>
      <w:r w:rsidR="006A6456">
        <w:t>n</w:t>
      </w:r>
      <w:r w:rsidR="00107EFA">
        <w:t xml:space="preserve"> observation by </w:t>
      </w:r>
      <w:r w:rsidR="00686E66">
        <w:t>Brainerd Currie</w:t>
      </w:r>
      <w:r w:rsidR="00DC2610">
        <w:t xml:space="preserve"> </w:t>
      </w:r>
      <w:r w:rsidR="00393BDA">
        <w:t>seems</w:t>
      </w:r>
      <w:r w:rsidR="00DC2610">
        <w:t xml:space="preserve"> instructive.  “[T]</w:t>
      </w:r>
      <w:r w:rsidR="00686E66">
        <w:t>he first lesson one must learn on the subject of res judicata</w:t>
      </w:r>
      <w:r w:rsidR="00DC2610">
        <w:t>,” he wrote, “</w:t>
      </w:r>
      <w:r w:rsidR="00686E66">
        <w:t>is that judicial findings must not be confused with absolute truth.”</w:t>
      </w:r>
      <w:r w:rsidR="00686E66">
        <w:rPr>
          <w:rStyle w:val="FootnoteReference"/>
        </w:rPr>
        <w:footnoteReference w:id="333"/>
      </w:r>
      <w:r w:rsidR="00686E66">
        <w:t xml:space="preserve">  </w:t>
      </w:r>
      <w:r w:rsidR="00A05414">
        <w:t xml:space="preserve">On </w:t>
      </w:r>
      <w:r w:rsidR="00DC2610">
        <w:t>that view, a</w:t>
      </w:r>
      <w:r w:rsidR="00686E66">
        <w:t xml:space="preserve"> PTO ruling of </w:t>
      </w:r>
      <w:r w:rsidR="00686E66" w:rsidRPr="009945FC">
        <w:t>invalidity</w:t>
      </w:r>
      <w:r w:rsidR="00686E66">
        <w:t xml:space="preserve"> that follows a court ruling </w:t>
      </w:r>
      <w:r w:rsidR="00A05414">
        <w:t>rejecting a validity challenge</w:t>
      </w:r>
      <w:r w:rsidR="00686E66">
        <w:t xml:space="preserve"> does not necessarily indicate that the court was </w:t>
      </w:r>
      <w:r w:rsidR="00686E66" w:rsidRPr="00361A81">
        <w:t>wrong</w:t>
      </w:r>
      <w:r w:rsidR="00686E66">
        <w:t>, nor does it prove tha</w:t>
      </w:r>
      <w:r w:rsidR="005B4A18">
        <w:t>t the asserted patent is</w:t>
      </w:r>
      <w:r w:rsidR="00686E66">
        <w:t xml:space="preserve"> </w:t>
      </w:r>
      <w:r w:rsidR="00686E66" w:rsidRPr="009945FC">
        <w:t>definitely</w:t>
      </w:r>
      <w:r w:rsidR="00686E66">
        <w:t xml:space="preserve"> invalid</w:t>
      </w:r>
      <w:r w:rsidR="006259BE">
        <w:t xml:space="preserve"> in some ontological sense</w:t>
      </w:r>
      <w:r w:rsidR="00686E66">
        <w:t xml:space="preserve">.  Because courts construe patent claims more narrowly than the PTO and presume patents to be valid, </w:t>
      </w:r>
      <w:r w:rsidR="001A0431">
        <w:t>it is harder to invalidate a patent in court than it is to invalidate a patent at the PTO</w:t>
      </w:r>
      <w:r w:rsidR="00686E66">
        <w:t xml:space="preserve">.  More than anything else, then, </w:t>
      </w:r>
      <w:r w:rsidR="000C1290">
        <w:t>inconsistent</w:t>
      </w:r>
      <w:r w:rsidR="00A93F23">
        <w:t xml:space="preserve"> court</w:t>
      </w:r>
      <w:r w:rsidR="00DC2610">
        <w:t xml:space="preserve"> and </w:t>
      </w:r>
      <w:r w:rsidR="00A93F23">
        <w:t>PTO decisions</w:t>
      </w:r>
      <w:r>
        <w:t>:</w:t>
      </w:r>
      <w:r w:rsidR="00A93F23">
        <w:t xml:space="preserve"> </w:t>
      </w:r>
      <w:r>
        <w:t xml:space="preserve"> </w:t>
      </w:r>
      <w:r w:rsidR="00A05414">
        <w:t>(a)</w:t>
      </w:r>
      <w:r w:rsidR="00686686">
        <w:t> </w:t>
      </w:r>
      <w:r w:rsidR="00686E66">
        <w:t>reflect these</w:t>
      </w:r>
      <w:r w:rsidR="00A93F23">
        <w:t xml:space="preserve"> different legal regimes and</w:t>
      </w:r>
      <w:r w:rsidR="00686E66">
        <w:t xml:space="preserve"> </w:t>
      </w:r>
      <w:r w:rsidR="00A05414">
        <w:t xml:space="preserve">(b) </w:t>
      </w:r>
      <w:r w:rsidR="00686E66">
        <w:t>suggest that reasonable minds can differ about the patent’s validity—a fact that is not surprising in disputes that twice reach a decision</w:t>
      </w:r>
      <w:r w:rsidR="00A93F23">
        <w:t xml:space="preserve"> by an adjudicative body.  </w:t>
      </w:r>
    </w:p>
    <w:p w14:paraId="5AA72B11" w14:textId="3490F53A" w:rsidR="00393BDA" w:rsidRDefault="00A93F23" w:rsidP="00BB4F6A">
      <w:pPr>
        <w:tabs>
          <w:tab w:val="left" w:pos="360"/>
        </w:tabs>
        <w:jc w:val="both"/>
      </w:pPr>
      <w:r>
        <w:t>I</w:t>
      </w:r>
      <w:r w:rsidR="00686E66">
        <w:t>f a patent’s validity is inherently uncertain, allowing an accused infringer multiple opportunities to invalidate it risks giving the proceedings “the aura</w:t>
      </w:r>
      <w:r w:rsidR="00C13A51">
        <w:t xml:space="preserve"> of [a] gaming table,” which </w:t>
      </w:r>
      <w:r w:rsidR="00686E66">
        <w:t xml:space="preserve">the Supreme Court warned against in </w:t>
      </w:r>
      <w:r w:rsidR="00686E66">
        <w:rPr>
          <w:i/>
        </w:rPr>
        <w:t>Blonder-Tongue</w:t>
      </w:r>
      <w:r w:rsidR="00686E66">
        <w:t>.</w:t>
      </w:r>
      <w:r w:rsidR="00686E66">
        <w:rPr>
          <w:rStyle w:val="FootnoteReference"/>
        </w:rPr>
        <w:footnoteReference w:id="334"/>
      </w:r>
      <w:r w:rsidR="00686E66">
        <w:t xml:space="preserve">  The Court acknowledged that “neither judges, the parties, nor the adversary system performs perfectly in all cases,” and that, accordingly, “the requirement of determining whether the party against whom an estoppel is asserted had a full and fair opportunity to litigate is a most significant safeguard.”</w:t>
      </w:r>
      <w:r w:rsidR="00686E66">
        <w:rPr>
          <w:rStyle w:val="FootnoteReference"/>
        </w:rPr>
        <w:footnoteReference w:id="335"/>
      </w:r>
      <w:r w:rsidR="00393BDA">
        <w:t xml:space="preserve">  These considerations arguably favor an approach that limits accused infringers to one opportunity to litigate patent validity.  But, unfortunately, they do not answer the </w:t>
      </w:r>
      <w:r w:rsidR="00214346">
        <w:t xml:space="preserve">important </w:t>
      </w:r>
      <w:r w:rsidR="00393BDA">
        <w:t xml:space="preserve">question of </w:t>
      </w:r>
      <w:r w:rsidR="00393BDA">
        <w:rPr>
          <w:i/>
        </w:rPr>
        <w:t>where</w:t>
      </w:r>
      <w:r w:rsidR="00393BDA">
        <w:t xml:space="preserve"> that </w:t>
      </w:r>
      <w:r w:rsidR="00F25FD5">
        <w:t xml:space="preserve">one </w:t>
      </w:r>
      <w:r w:rsidR="00393BDA">
        <w:t>validity challenge should occur</w:t>
      </w:r>
      <w:r w:rsidR="00214346">
        <w:t>:</w:t>
      </w:r>
      <w:r w:rsidR="00393BDA">
        <w:t xml:space="preserve"> </w:t>
      </w:r>
      <w:r w:rsidR="00214346">
        <w:t xml:space="preserve"> </w:t>
      </w:r>
      <w:r w:rsidR="00393BDA">
        <w:t xml:space="preserve">in court or at the PTO?  </w:t>
      </w:r>
    </w:p>
    <w:p w14:paraId="57804F5A" w14:textId="397C40A7" w:rsidR="00BB4F6A" w:rsidRPr="00393BDA" w:rsidRDefault="00214346" w:rsidP="00BB4F6A">
      <w:pPr>
        <w:tabs>
          <w:tab w:val="left" w:pos="360"/>
        </w:tabs>
        <w:jc w:val="both"/>
      </w:pPr>
      <w:r>
        <w:t>To understand why that question is important, c</w:t>
      </w:r>
      <w:r w:rsidR="00393BDA">
        <w:t>onsider</w:t>
      </w:r>
      <w:r>
        <w:t xml:space="preserve"> </w:t>
      </w:r>
      <w:r w:rsidR="00393BDA">
        <w:t xml:space="preserve">a potential infringer who files a lawsuit seeking a declaratory judgment of invalidity and loses.  Under the principle of “one full and fair opportunity to litigate validity,” there is a strong </w:t>
      </w:r>
      <w:r w:rsidR="00393BDA">
        <w:lastRenderedPageBreak/>
        <w:t xml:space="preserve">argument that that potential infringer, having chosen to litigate validity in court and lost, should not be permitted a second chance to litigate validity by seeking review at the PTO.  But the question is harder when the infringer has not filed a declaratory judgment suit but has instead been sued for infringement.  Congress has affirmatively created two tribunals with the power to evaluate patent validity—the courts and the PTO.  Given that institutional reality, it is not clear that the accused infringer, in exercising its </w:t>
      </w:r>
      <w:r w:rsidR="009A5AF0">
        <w:t xml:space="preserve">one </w:t>
      </w:r>
      <w:r w:rsidR="00393BDA">
        <w:t>full and fair opportunity to litigate validity, should be bound by the patent holder’s choice of forum.</w:t>
      </w:r>
      <w:r>
        <w:t xml:space="preserve">  Rather, the existence of parallel regimes for reviewing patent validity might suggest that both patent holders and accused infringers have equally strong claims to the right to choose the forum.</w:t>
      </w:r>
      <w:r>
        <w:rPr>
          <w:rStyle w:val="FootnoteReference"/>
        </w:rPr>
        <w:footnoteReference w:id="336"/>
      </w:r>
      <w:r w:rsidR="00393BDA">
        <w:t xml:space="preserve">  </w:t>
      </w:r>
      <w:r w:rsidR="009A5AF0">
        <w:t xml:space="preserve">Thus, even if fairness considerations suggest that an accused infringer should have only one opportunity to challenge validity, those considerations do not tell us in which forum that challenge should occur.  Consequently, fairness considerations do not seem to provide a definitive answer as to which of two conflicting decisions on patent validity, a court’s or the PTO’s, should take precedence.  </w:t>
      </w:r>
    </w:p>
    <w:p w14:paraId="4C991A64" w14:textId="349885FA" w:rsidR="002054FE" w:rsidRDefault="00686E66" w:rsidP="00686E66">
      <w:pPr>
        <w:keepNext/>
        <w:tabs>
          <w:tab w:val="left" w:pos="360"/>
        </w:tabs>
        <w:ind w:left="360" w:hanging="360"/>
        <w:jc w:val="center"/>
      </w:pPr>
      <w:r>
        <w:t>D</w:t>
      </w:r>
      <w:r w:rsidR="002054FE">
        <w:t>.</w:t>
      </w:r>
      <w:r w:rsidR="002054FE">
        <w:tab/>
        <w:t>Litigation Efficiency</w:t>
      </w:r>
    </w:p>
    <w:p w14:paraId="2B1F27BC" w14:textId="5083D70E" w:rsidR="00BB4F6A" w:rsidRDefault="00C13A51" w:rsidP="00BB4F6A">
      <w:pPr>
        <w:tabs>
          <w:tab w:val="left" w:pos="360"/>
        </w:tabs>
        <w:jc w:val="both"/>
      </w:pPr>
      <w:r>
        <w:t>C</w:t>
      </w:r>
      <w:r w:rsidR="00DC2610">
        <w:t>onsiderations of litigation efficiency and judicial economy are also relevant to a court’s decision, under the law of the case doctrine, whether to exercise the discretion to depart from a prior ruling.</w:t>
      </w:r>
      <w:r w:rsidR="00DC2610">
        <w:rPr>
          <w:rStyle w:val="FootnoteReference"/>
        </w:rPr>
        <w:footnoteReference w:id="337"/>
      </w:r>
      <w:r w:rsidR="00DC2610">
        <w:t xml:space="preserve">  L</w:t>
      </w:r>
      <w:r w:rsidR="00A93F23">
        <w:t xml:space="preserve">imiting an accused infringer to one opportunity to litigate validity </w:t>
      </w:r>
      <w:r w:rsidR="00DC2610">
        <w:t xml:space="preserve">certainly </w:t>
      </w:r>
      <w:r w:rsidR="00A93F23">
        <w:t>conserves the resources of the courts and the PTO</w:t>
      </w:r>
      <w:r>
        <w:t xml:space="preserve">.  </w:t>
      </w:r>
      <w:r w:rsidR="00A4616B">
        <w:t>A</w:t>
      </w:r>
      <w:r w:rsidR="00BB4F6A">
        <w:t>llowing a later PTO ruling to trump a court decision</w:t>
      </w:r>
      <w:r w:rsidR="00A4616B">
        <w:t>, by contrast, incentivizes patent challengers to pursue duplicative proceedings, even though the court proceedings may ultimate</w:t>
      </w:r>
      <w:r w:rsidR="00686686">
        <w:t>ly</w:t>
      </w:r>
      <w:r w:rsidR="00A4616B">
        <w:t xml:space="preserve"> prove to have been unnecessary.  The wasted resources can be substantial.  </w:t>
      </w:r>
      <w:r w:rsidR="00BB4F6A">
        <w:t xml:space="preserve">The infringement litigation in </w:t>
      </w:r>
      <w:r w:rsidR="00BB4F6A">
        <w:rPr>
          <w:i/>
        </w:rPr>
        <w:t>Fresenius</w:t>
      </w:r>
      <w:r w:rsidR="00BB4F6A">
        <w:t xml:space="preserve">, for instance, spanned ten years, two jury trials, and two appeals before the Federal Circuit dismissed the case.  The infringement litigation in </w:t>
      </w:r>
      <w:proofErr w:type="spellStart"/>
      <w:r w:rsidR="00BB4F6A">
        <w:rPr>
          <w:i/>
        </w:rPr>
        <w:t>ePlus</w:t>
      </w:r>
      <w:proofErr w:type="spellEnd"/>
      <w:r w:rsidR="00BB4F6A">
        <w:t xml:space="preserve"> spanned five years, a jury trial, contempt proceedings, and two appeals before the Federal Circuit dismissed it.</w:t>
      </w:r>
      <w:r w:rsidR="00836E2F">
        <w:t xml:space="preserve">  </w:t>
      </w:r>
    </w:p>
    <w:p w14:paraId="40308C84" w14:textId="77777777" w:rsidR="006259BE" w:rsidRDefault="00881D61" w:rsidP="00BB4F6A">
      <w:pPr>
        <w:tabs>
          <w:tab w:val="left" w:pos="360"/>
        </w:tabs>
        <w:jc w:val="both"/>
      </w:pPr>
      <w:r>
        <w:t xml:space="preserve">One might </w:t>
      </w:r>
      <w:r w:rsidR="00686686">
        <w:t>assert</w:t>
      </w:r>
      <w:r>
        <w:t xml:space="preserve"> that these </w:t>
      </w:r>
      <w:r w:rsidR="0036199A">
        <w:t>“wasted” resources</w:t>
      </w:r>
      <w:r>
        <w:t xml:space="preserve"> </w:t>
      </w:r>
      <w:r w:rsidR="0036199A">
        <w:t>were</w:t>
      </w:r>
      <w:r>
        <w:t xml:space="preserve"> </w:t>
      </w:r>
      <w:r w:rsidR="0036199A">
        <w:t xml:space="preserve">actually </w:t>
      </w:r>
      <w:r>
        <w:t>sunk costs at the time the Federal Circuit was considering whether to vacate the court judgments in light of the PTO’s rulings of invalidity</w:t>
      </w:r>
      <w:r w:rsidR="0036199A">
        <w:t xml:space="preserve">.  Under that line of reasoning, these prior expenses should not factor into a normative critique of the Federal Circuit’s decisions.  The absolute finality rule adopted in </w:t>
      </w:r>
      <w:r w:rsidR="0036199A">
        <w:rPr>
          <w:i/>
        </w:rPr>
        <w:t>Fresenius</w:t>
      </w:r>
      <w:r w:rsidR="0036199A">
        <w:t xml:space="preserve">, however, </w:t>
      </w:r>
      <w:r w:rsidR="00686686">
        <w:t xml:space="preserve">also </w:t>
      </w:r>
      <w:r w:rsidR="0036199A">
        <w:t xml:space="preserve">creates incentives for litigants to engage in wasteful behavior in future cases.  Not only does it encourage patent challengers to pursue duplicative proceedings, it </w:t>
      </w:r>
      <w:r w:rsidR="0027239A">
        <w:t xml:space="preserve">deters </w:t>
      </w:r>
      <w:r w:rsidR="0027239A">
        <w:lastRenderedPageBreak/>
        <w:t>settlement of litigation.</w:t>
      </w:r>
      <w:r>
        <w:t xml:space="preserve">  </w:t>
      </w:r>
      <w:r w:rsidR="0036199A">
        <w:t xml:space="preserve">Specifically, the absolute finality rule incentivizes defendants in patent infringement litigation, particularly those who appear likely to lose the court case, </w:t>
      </w:r>
      <w:r>
        <w:t xml:space="preserve">to drag out court proceedings as long as possible so PTO review can run its course.  </w:t>
      </w:r>
    </w:p>
    <w:p w14:paraId="00A88539" w14:textId="4D54B379" w:rsidR="00BB4F6A" w:rsidRDefault="006A6456" w:rsidP="00BB4F6A">
      <w:pPr>
        <w:tabs>
          <w:tab w:val="left" w:pos="360"/>
        </w:tabs>
        <w:jc w:val="both"/>
      </w:pPr>
      <w:r w:rsidRPr="00910A70">
        <w:t>T</w:t>
      </w:r>
      <w:r w:rsidR="0036199A" w:rsidRPr="00910A70">
        <w:t xml:space="preserve">he parties’ actions in the </w:t>
      </w:r>
      <w:proofErr w:type="spellStart"/>
      <w:r w:rsidR="00881D61" w:rsidRPr="00910A70">
        <w:rPr>
          <w:i/>
        </w:rPr>
        <w:t>Versata</w:t>
      </w:r>
      <w:proofErr w:type="spellEnd"/>
      <w:r w:rsidR="00881D61" w:rsidRPr="00910A70">
        <w:t xml:space="preserve"> </w:t>
      </w:r>
      <w:r w:rsidR="0036199A" w:rsidRPr="00910A70">
        <w:t>litigation</w:t>
      </w:r>
      <w:r w:rsidRPr="00910A70">
        <w:t xml:space="preserve"> illustrate </w:t>
      </w:r>
      <w:r w:rsidR="006259BE" w:rsidRPr="00910A70">
        <w:t>that</w:t>
      </w:r>
      <w:r w:rsidRPr="00910A70">
        <w:t xml:space="preserve"> dynamic</w:t>
      </w:r>
      <w:r w:rsidR="00881D61" w:rsidRPr="00910A70">
        <w:t xml:space="preserve">.  After the first Federal Circuit decision in the infringement </w:t>
      </w:r>
      <w:r w:rsidR="0036199A" w:rsidRPr="00910A70">
        <w:t>case</w:t>
      </w:r>
      <w:r w:rsidR="00881D61" w:rsidRPr="00910A70">
        <w:t>,</w:t>
      </w:r>
      <w:r w:rsidR="00686686" w:rsidRPr="00910A70">
        <w:t xml:space="preserve"> which affirmed the district court’s ruling in the patent holder’s favor on the issues of validity and infringement,</w:t>
      </w:r>
      <w:r w:rsidR="00881D61" w:rsidRPr="00910A70">
        <w:t xml:space="preserve"> SAP</w:t>
      </w:r>
      <w:r w:rsidR="00686686" w:rsidRPr="00910A70">
        <w:t>, the accused infringer,</w:t>
      </w:r>
      <w:r w:rsidR="00881D61" w:rsidRPr="00910A70">
        <w:t xml:space="preserve"> sought rehearing en banc in the Federal Circuit, obtained an extension of time in which to file its petition for a writ of certiorari, filed the petition, and then, upon return to the district court, sought a stay in light of the PTAB decision invalidating the patent.  This is not to criticize SAP—its lawyers did </w:t>
      </w:r>
      <w:r w:rsidR="00881D61" w:rsidRPr="00910A70">
        <w:rPr>
          <w:i/>
        </w:rPr>
        <w:t>exactly</w:t>
      </w:r>
      <w:r w:rsidR="00881D61" w:rsidRPr="00910A70">
        <w:t xml:space="preserve"> what they should have done in light of the absolute finality rule.</w:t>
      </w:r>
      <w:r w:rsidR="00DC2A9D">
        <w:t xml:space="preserve">  And it is certainly not to say that the absolute finality rule is the </w:t>
      </w:r>
      <w:r w:rsidR="00DC2A9D">
        <w:rPr>
          <w:i/>
        </w:rPr>
        <w:t>only</w:t>
      </w:r>
      <w:r w:rsidR="00DC2A9D">
        <w:t xml:space="preserve"> reason a losing defendant in infringement litigation might drag its feet.  For instance, prejudgment and </w:t>
      </w:r>
      <w:proofErr w:type="spellStart"/>
      <w:r w:rsidR="00DC2A9D">
        <w:t>postjudgment</w:t>
      </w:r>
      <w:proofErr w:type="spellEnd"/>
      <w:r w:rsidR="00DC2A9D">
        <w:t xml:space="preserve"> interest rates are sufficiently</w:t>
      </w:r>
      <w:r w:rsidR="00E90E50">
        <w:t xml:space="preserve"> low that defendants generally prefer to delay entry of and payment on the judgment</w:t>
      </w:r>
      <w:r w:rsidR="00DC2A9D">
        <w:t>.</w:t>
      </w:r>
      <w:r w:rsidR="00DC2A9D">
        <w:rPr>
          <w:rStyle w:val="FootnoteReference"/>
        </w:rPr>
        <w:footnoteReference w:id="338"/>
      </w:r>
      <w:r w:rsidR="00DC2A9D">
        <w:t xml:space="preserve"> </w:t>
      </w:r>
      <w:r w:rsidR="00881D61" w:rsidRPr="00910A70">
        <w:t xml:space="preserve"> Rather, it is merely to </w:t>
      </w:r>
      <w:r w:rsidR="00DC2A9D">
        <w:t xml:space="preserve">suggest that the absolute finality rule creates an </w:t>
      </w:r>
      <w:r w:rsidR="00DC2A9D" w:rsidRPr="00E90E50">
        <w:rPr>
          <w:i/>
        </w:rPr>
        <w:t>additional</w:t>
      </w:r>
      <w:r w:rsidR="00DC2A9D">
        <w:t xml:space="preserve"> incentive </w:t>
      </w:r>
      <w:r w:rsidRPr="00910A70">
        <w:t>for defendants to prolong litigation</w:t>
      </w:r>
      <w:r w:rsidR="00686686" w:rsidRPr="00910A70">
        <w:t xml:space="preserve"> and to refuse settlement</w:t>
      </w:r>
      <w:r w:rsidR="00881D61" w:rsidRPr="00910A70">
        <w:t>.</w:t>
      </w:r>
      <w:r w:rsidR="00881D61">
        <w:t xml:space="preserve">  </w:t>
      </w:r>
      <w:r w:rsidR="0027239A">
        <w:t xml:space="preserve"> </w:t>
      </w:r>
    </w:p>
    <w:p w14:paraId="5C0B9207" w14:textId="266E2781" w:rsidR="00BB4F6A" w:rsidRDefault="00BB4F6A" w:rsidP="00BB4F6A">
      <w:pPr>
        <w:tabs>
          <w:tab w:val="left" w:pos="360"/>
        </w:tabs>
        <w:jc w:val="both"/>
      </w:pPr>
      <w:r>
        <w:t>For a patent holder who is victorious in infringement litigation but then faces a</w:t>
      </w:r>
      <w:r w:rsidR="00DC2610">
        <w:t>n</w:t>
      </w:r>
      <w:r>
        <w:t xml:space="preserve"> adverse decision from the PTO, the absolute finality rule has the opposite e</w:t>
      </w:r>
      <w:r w:rsidR="00DC2610">
        <w:t xml:space="preserve">ffect, </w:t>
      </w:r>
      <w:r>
        <w:t>encourag</w:t>
      </w:r>
      <w:r w:rsidR="00DC2610">
        <w:t>ing</w:t>
      </w:r>
      <w:r>
        <w:t xml:space="preserve"> the patent holder to do everything it can to expedite final resolution of the case, including sacrificing a remedy to which </w:t>
      </w:r>
      <w:r w:rsidR="00DC2610">
        <w:t>a</w:t>
      </w:r>
      <w:r>
        <w:t xml:space="preserve"> court has held it is legally entitled.  </w:t>
      </w:r>
      <w:r w:rsidR="00DC2610">
        <w:t xml:space="preserve">In </w:t>
      </w:r>
      <w:proofErr w:type="spellStart"/>
      <w:r w:rsidRPr="00DC2610">
        <w:rPr>
          <w:i/>
        </w:rPr>
        <w:t>Versata</w:t>
      </w:r>
      <w:proofErr w:type="spellEnd"/>
      <w:r>
        <w:t xml:space="preserve">, for instance, </w:t>
      </w:r>
      <w:r w:rsidR="00DC2610">
        <w:t xml:space="preserve">the patent holder </w:t>
      </w:r>
      <w:r>
        <w:t xml:space="preserve">abandoned its demand for an injunction so that the infringement litigation would </w:t>
      </w:r>
      <w:r w:rsidR="00DC2610">
        <w:t>conclude</w:t>
      </w:r>
      <w:r>
        <w:t xml:space="preserve"> before the </w:t>
      </w:r>
      <w:r w:rsidR="00686686">
        <w:t xml:space="preserve">PTO’s </w:t>
      </w:r>
      <w:r>
        <w:t>covered business method review.</w:t>
      </w:r>
      <w:r w:rsidR="00EB5932">
        <w:rPr>
          <w:rStyle w:val="FootnoteReference"/>
        </w:rPr>
        <w:footnoteReference w:id="339"/>
      </w:r>
      <w:r w:rsidR="00C13A51">
        <w:t xml:space="preserve">  </w:t>
      </w:r>
      <w:r>
        <w:t>Baxter</w:t>
      </w:r>
      <w:r w:rsidR="00C13A51">
        <w:t>, for its part,</w:t>
      </w:r>
      <w:r>
        <w:t xml:space="preserve"> probably wishes it had taken a similar course in its litigation with </w:t>
      </w:r>
      <w:r w:rsidRPr="001A0431">
        <w:t>Fresenius</w:t>
      </w:r>
      <w:r>
        <w:t xml:space="preserve">.  If Baxter had waived its right to </w:t>
      </w:r>
      <w:r w:rsidR="008137A5">
        <w:t>on-going</w:t>
      </w:r>
      <w:r>
        <w:t xml:space="preserve"> royalties on remand from the Federal Circuit’s first decision, that waiver would have ended the infringement case </w:t>
      </w:r>
      <w:r w:rsidRPr="00A93F33">
        <w:t xml:space="preserve">before the PTO </w:t>
      </w:r>
      <w:r w:rsidR="00892787">
        <w:t>invalidated</w:t>
      </w:r>
      <w:r w:rsidRPr="00A93F33">
        <w:t xml:space="preserve"> the patent</w:t>
      </w:r>
      <w:r>
        <w:t>, securing Baxter’s right to over $14 million in past damages.</w:t>
      </w:r>
      <w:r w:rsidR="00EB5932">
        <w:rPr>
          <w:rStyle w:val="FootnoteReference"/>
        </w:rPr>
        <w:footnoteReference w:id="340"/>
      </w:r>
      <w:r>
        <w:t xml:space="preserve">  </w:t>
      </w:r>
      <w:r w:rsidR="00EB5932">
        <w:t xml:space="preserve">Thus, </w:t>
      </w:r>
      <w:r w:rsidR="006A6456">
        <w:t>although</w:t>
      </w:r>
      <w:r w:rsidR="00EB5932">
        <w:t xml:space="preserve"> the absolute finality rule </w:t>
      </w:r>
      <w:r w:rsidR="006A6456">
        <w:t xml:space="preserve">can encourage a patent holder to settle its claims, </w:t>
      </w:r>
      <w:r w:rsidR="00EB5932">
        <w:t xml:space="preserve">it </w:t>
      </w:r>
      <w:r w:rsidR="00910A70">
        <w:t>can do</w:t>
      </w:r>
      <w:r w:rsidR="00EB5932">
        <w:t xml:space="preserve"> so at substantial cost, forcing </w:t>
      </w:r>
      <w:r w:rsidR="006A6456">
        <w:t xml:space="preserve">the patent holder </w:t>
      </w:r>
      <w:r w:rsidR="00EB5932">
        <w:t>to abandon a remedy to which a court has held it is legally entitled.</w:t>
      </w:r>
    </w:p>
    <w:p w14:paraId="18BDC485" w14:textId="4328D7AA" w:rsidR="00E97F25" w:rsidRDefault="00E97F25" w:rsidP="00DC2610">
      <w:pPr>
        <w:keepNext/>
        <w:tabs>
          <w:tab w:val="left" w:pos="360"/>
        </w:tabs>
        <w:ind w:left="360" w:hanging="360"/>
        <w:jc w:val="center"/>
      </w:pPr>
      <w:r>
        <w:lastRenderedPageBreak/>
        <w:t>E.</w:t>
      </w:r>
      <w:r>
        <w:tab/>
        <w:t>Absolute Finality Versus the Alternatives</w:t>
      </w:r>
    </w:p>
    <w:p w14:paraId="7636ED66" w14:textId="464D2CF4" w:rsidR="00483697" w:rsidRDefault="00E97F25" w:rsidP="0073233A">
      <w:pPr>
        <w:tabs>
          <w:tab w:val="left" w:pos="360"/>
        </w:tabs>
        <w:jc w:val="both"/>
      </w:pPr>
      <w:r>
        <w:t>T</w:t>
      </w:r>
      <w:r w:rsidR="00D92B68">
        <w:t>he</w:t>
      </w:r>
      <w:r w:rsidR="00BB4F6A">
        <w:t xml:space="preserve"> absolute finality rule</w:t>
      </w:r>
      <w:r w:rsidR="00D92B68">
        <w:t xml:space="preserve"> is</w:t>
      </w:r>
      <w:r w:rsidR="00483697">
        <w:t>, in short,</w:t>
      </w:r>
      <w:r w:rsidR="00D92B68">
        <w:t xml:space="preserve"> a</w:t>
      </w:r>
      <w:r w:rsidR="0050038F">
        <w:t>n</w:t>
      </w:r>
      <w:r w:rsidR="00D92B68">
        <w:t xml:space="preserve"> imperfect way of resolving conflicting decisions by the courts and the PTO.  </w:t>
      </w:r>
      <w:r w:rsidR="00EB5932">
        <w:t>Yet the primary alternative</w:t>
      </w:r>
      <w:r w:rsidR="00C13A51">
        <w:t xml:space="preserve"> available to the Federal Circuit</w:t>
      </w:r>
      <w:r w:rsidR="00EB5932">
        <w:t>—</w:t>
      </w:r>
      <w:r w:rsidR="00DE7AE3">
        <w:t>immuniz</w:t>
      </w:r>
      <w:r w:rsidR="00EB5932">
        <w:t>ing</w:t>
      </w:r>
      <w:r w:rsidR="00D92B68">
        <w:t xml:space="preserve"> district court proceedings from t</w:t>
      </w:r>
      <w:r w:rsidR="00892787">
        <w:t xml:space="preserve">he effects of PTO </w:t>
      </w:r>
      <w:r w:rsidR="00D92B68">
        <w:t>review</w:t>
      </w:r>
      <w:r w:rsidR="00EB5932">
        <w:t xml:space="preserve"> once validity has been fully litigated in court</w:t>
      </w:r>
      <w:r w:rsidR="00C13A51">
        <w:t>, as Judges Newman and O’Malley would have it</w:t>
      </w:r>
      <w:r w:rsidR="00EB5932">
        <w:t>—</w:t>
      </w:r>
      <w:r w:rsidR="00892787">
        <w:t>is also problematic</w:t>
      </w:r>
      <w:r w:rsidR="00EB5932">
        <w:t xml:space="preserve"> because it </w:t>
      </w:r>
      <w:r w:rsidR="00DE7AE3">
        <w:t>forces</w:t>
      </w:r>
      <w:r w:rsidR="00E5619A">
        <w:t xml:space="preserve"> infringers to pay damages on </w:t>
      </w:r>
      <w:r w:rsidR="00D92B68">
        <w:t>patent</w:t>
      </w:r>
      <w:r w:rsidR="00E5619A">
        <w:t>s</w:t>
      </w:r>
      <w:r w:rsidR="00483697">
        <w:t xml:space="preserve"> that have been invalidated by the PTO</w:t>
      </w:r>
      <w:r w:rsidR="00E5619A">
        <w:t xml:space="preserve">.  </w:t>
      </w:r>
    </w:p>
    <w:p w14:paraId="4CDE9A11" w14:textId="0D4A0059" w:rsidR="00E22205" w:rsidRDefault="00E22205" w:rsidP="00496233">
      <w:pPr>
        <w:tabs>
          <w:tab w:val="left" w:pos="360"/>
        </w:tabs>
        <w:jc w:val="both"/>
      </w:pPr>
      <w:r>
        <w:t>As long as both the courts and the PTO possess independent power to invalidate a single patent, conflicting decisions will occur.  No rule of finality adopted by the Federal Circuit</w:t>
      </w:r>
      <w:r w:rsidR="008137A5">
        <w:t xml:space="preserve"> will eliminate those conflicts, </w:t>
      </w:r>
      <w:r>
        <w:t>it will only change which of the decisions take precedence.  Under the absolute finality rule, PTO decisions will usually prevail</w:t>
      </w:r>
      <w:r w:rsidR="00E57EEE">
        <w:t xml:space="preserve"> because </w:t>
      </w:r>
      <w:r w:rsidR="006A6456">
        <w:t>they can be used to abrogate</w:t>
      </w:r>
      <w:r w:rsidR="00E57EEE">
        <w:t xml:space="preserve"> court rulings even at very late stages of the court case</w:t>
      </w:r>
      <w:r>
        <w:t xml:space="preserve">.  If the Federal Circuit </w:t>
      </w:r>
      <w:r w:rsidR="00892787">
        <w:t xml:space="preserve">or the Supreme Court overturns the absolute finality rule </w:t>
      </w:r>
      <w:r>
        <w:t>and</w:t>
      </w:r>
      <w:r w:rsidR="00246557">
        <w:t xml:space="preserve"> limits infringers to one opportunity to </w:t>
      </w:r>
      <w:r w:rsidR="008137A5">
        <w:t xml:space="preserve">fully </w:t>
      </w:r>
      <w:r w:rsidR="00246557">
        <w:t>litigate validity, court rulings will likely take precedence more often</w:t>
      </w:r>
      <w:r w:rsidR="00E57EEE">
        <w:t xml:space="preserve"> because, as</w:t>
      </w:r>
      <w:r w:rsidR="00892787">
        <w:t xml:space="preserve"> the prolonged remedial proceedings in</w:t>
      </w:r>
      <w:r w:rsidR="00E57EEE">
        <w:t xml:space="preserve"> </w:t>
      </w:r>
      <w:r w:rsidR="00E57EEE">
        <w:rPr>
          <w:i/>
        </w:rPr>
        <w:t>Fresenius</w:t>
      </w:r>
      <w:r w:rsidR="00E57EEE">
        <w:t xml:space="preserve">, </w:t>
      </w:r>
      <w:proofErr w:type="spellStart"/>
      <w:r w:rsidR="00E57EEE">
        <w:rPr>
          <w:i/>
        </w:rPr>
        <w:t>Versata</w:t>
      </w:r>
      <w:proofErr w:type="spellEnd"/>
      <w:r w:rsidR="00E57EEE">
        <w:t xml:space="preserve">, and </w:t>
      </w:r>
      <w:proofErr w:type="spellStart"/>
      <w:r w:rsidR="00E57EEE">
        <w:rPr>
          <w:i/>
        </w:rPr>
        <w:t>ePlus</w:t>
      </w:r>
      <w:proofErr w:type="spellEnd"/>
      <w:r w:rsidR="00E57EEE">
        <w:t xml:space="preserve"> illustrate, the issue of validity can be resolved long before </w:t>
      </w:r>
      <w:r w:rsidR="005B4A18">
        <w:t>a</w:t>
      </w:r>
      <w:r w:rsidR="00E57EEE">
        <w:t xml:space="preserve"> court case reaches a final resolution</w:t>
      </w:r>
      <w:r w:rsidR="00246557">
        <w:t>.</w:t>
      </w:r>
      <w:r w:rsidR="00173D22">
        <w:rPr>
          <w:rStyle w:val="FootnoteReference"/>
        </w:rPr>
        <w:footnoteReference w:id="341"/>
      </w:r>
    </w:p>
    <w:p w14:paraId="0B0ABC1E" w14:textId="15D98433" w:rsidR="00483697" w:rsidRDefault="006B736C" w:rsidP="00483697">
      <w:pPr>
        <w:tabs>
          <w:tab w:val="left" w:pos="360"/>
        </w:tabs>
        <w:jc w:val="both"/>
      </w:pPr>
      <w:r>
        <w:lastRenderedPageBreak/>
        <w:t>Congress could reduce or eliminate conflicting decisions by making various changes to the parallel proceedings, and those legislative possibilities are considered below.  F</w:t>
      </w:r>
      <w:r w:rsidR="00E22205">
        <w:t xml:space="preserve">or now, the </w:t>
      </w:r>
      <w:r w:rsidR="00892787">
        <w:t>most effective</w:t>
      </w:r>
      <w:r w:rsidR="00E22205">
        <w:t xml:space="preserve"> option for reducing conflicts is for courts to judiciously use their power to stay litigation in light of post-issuance proceedings at the PTO.</w:t>
      </w:r>
      <w:r w:rsidR="0085219E">
        <w:rPr>
          <w:rStyle w:val="FootnoteReference"/>
        </w:rPr>
        <w:footnoteReference w:id="342"/>
      </w:r>
      <w:r w:rsidR="00246557">
        <w:t xml:space="preserve">  (Under current la</w:t>
      </w:r>
      <w:r w:rsidR="00892787">
        <w:t xml:space="preserve">w, having </w:t>
      </w:r>
      <w:r w:rsidR="00892787" w:rsidRPr="00892787">
        <w:rPr>
          <w:i/>
        </w:rPr>
        <w:t>the</w:t>
      </w:r>
      <w:r w:rsidR="00C13A51" w:rsidRPr="00892787">
        <w:rPr>
          <w:i/>
        </w:rPr>
        <w:t xml:space="preserve"> PTO</w:t>
      </w:r>
      <w:r w:rsidR="00C13A51" w:rsidRPr="00E57EEE">
        <w:rPr>
          <w:i/>
        </w:rPr>
        <w:t xml:space="preserve"> </w:t>
      </w:r>
      <w:r w:rsidR="00892787" w:rsidRPr="00892787">
        <w:t xml:space="preserve">stay </w:t>
      </w:r>
      <w:r w:rsidR="00246557" w:rsidRPr="00892787">
        <w:t>proceedings</w:t>
      </w:r>
      <w:r w:rsidR="00892787">
        <w:t xml:space="preserve"> pending litigation </w:t>
      </w:r>
      <w:r w:rsidR="00246557">
        <w:t xml:space="preserve">is not </w:t>
      </w:r>
      <w:r w:rsidR="00892787">
        <w:t>possible</w:t>
      </w:r>
      <w:r w:rsidR="00246557">
        <w:t>.</w:t>
      </w:r>
      <w:r w:rsidR="00246557">
        <w:rPr>
          <w:rStyle w:val="FootnoteReference"/>
        </w:rPr>
        <w:footnoteReference w:id="343"/>
      </w:r>
      <w:r w:rsidR="00246557">
        <w:t>)</w:t>
      </w:r>
      <w:r w:rsidR="00E22205">
        <w:t xml:space="preserve"> </w:t>
      </w:r>
      <w:r w:rsidR="0073233A">
        <w:t xml:space="preserve"> </w:t>
      </w:r>
      <w:r w:rsidR="007B0E4C">
        <w:t xml:space="preserve">The absolute finality rule, </w:t>
      </w:r>
      <w:r w:rsidR="00246557">
        <w:t xml:space="preserve">for all its shortcomings, </w:t>
      </w:r>
      <w:r w:rsidR="007B0E4C">
        <w:t>provides a strong incentive for district courts to stay litigation</w:t>
      </w:r>
      <w:r w:rsidR="00246557">
        <w:t xml:space="preserve"> because their decisions do not become “fin</w:t>
      </w:r>
      <w:r w:rsidR="00C13A51">
        <w:t>al” until every single remedial</w:t>
      </w:r>
      <w:r w:rsidR="00246557">
        <w:t xml:space="preserve"> issue is resolved</w:t>
      </w:r>
      <w:r w:rsidR="007B0E4C">
        <w:t xml:space="preserve">.  </w:t>
      </w:r>
      <w:r w:rsidR="00483697">
        <w:rPr>
          <w:i/>
        </w:rPr>
        <w:t>Fresenius</w:t>
      </w:r>
      <w:r w:rsidR="00483697">
        <w:t xml:space="preserve"> is commonly cited by district courts as a reason to justify staying an infringement case.</w:t>
      </w:r>
      <w:r w:rsidR="00483697">
        <w:rPr>
          <w:rStyle w:val="FootnoteReference"/>
        </w:rPr>
        <w:footnoteReference w:id="344"/>
      </w:r>
      <w:r w:rsidR="00483697">
        <w:t xml:space="preserve">  And, as noted, district courts now </w:t>
      </w:r>
      <w:r w:rsidR="00294524">
        <w:t xml:space="preserve">grant about eighty percent of requests to </w:t>
      </w:r>
      <w:r w:rsidR="00483697">
        <w:t xml:space="preserve">stay litigation pending </w:t>
      </w:r>
      <w:r w:rsidR="00246557">
        <w:t xml:space="preserve">instituted inter </w:t>
      </w:r>
      <w:proofErr w:type="spellStart"/>
      <w:r w:rsidR="00246557">
        <w:t>partes</w:t>
      </w:r>
      <w:proofErr w:type="spellEnd"/>
      <w:r w:rsidR="00294524">
        <w:t xml:space="preserve"> review</w:t>
      </w:r>
      <w:r w:rsidR="00483697">
        <w:t>.</w:t>
      </w:r>
      <w:r w:rsidR="00483697">
        <w:rPr>
          <w:rStyle w:val="FootnoteReference"/>
        </w:rPr>
        <w:footnoteReference w:id="345"/>
      </w:r>
      <w:r w:rsidR="007B0E4C">
        <w:t xml:space="preserve">  A rule that rendered court decisions final at an earlier stage</w:t>
      </w:r>
      <w:r w:rsidR="0050038F">
        <w:t>, such as the rule preferred by Judges Newman and O’Malley,</w:t>
      </w:r>
      <w:r w:rsidR="007B0E4C">
        <w:t xml:space="preserve"> </w:t>
      </w:r>
      <w:r w:rsidR="00246557">
        <w:t>would provide less of an incentive to stay litigation</w:t>
      </w:r>
      <w:r w:rsidR="00C13A51">
        <w:t xml:space="preserve"> and, consequently, would likely result in more conflicts between the courts and the PTO</w:t>
      </w:r>
      <w:r w:rsidR="007B0E4C">
        <w:t>.</w:t>
      </w:r>
      <w:r w:rsidR="00050DE6">
        <w:t xml:space="preserve">  Moreover, the absolute finality rule encourages accused infringers to seek post-issuance review relatively quickly after being sued for infringement</w:t>
      </w:r>
      <w:r w:rsidR="0092695F">
        <w:t xml:space="preserve">, so that the PTO proceedings finish as soon as possible and then preempt any court decision.  As noted, courts are more inclined to grant stays when PTO review is sought early in the case, and, if the PTO proceedings invalidate the patent, the end result is likely less costly than litigation would have been.  Thus, despite its flaws, the absolute finality might be the best option under current law for mediating conflicting decisions between the courts and the PTO.  </w:t>
      </w:r>
      <w:r w:rsidR="007B0E4C">
        <w:t xml:space="preserve">  </w:t>
      </w:r>
      <w:r w:rsidR="00483697">
        <w:t xml:space="preserve"> </w:t>
      </w:r>
    </w:p>
    <w:p w14:paraId="304BD0D4" w14:textId="483FAE35" w:rsidR="002054FE" w:rsidRPr="005F70C3" w:rsidRDefault="00911489" w:rsidP="002054FE">
      <w:pPr>
        <w:keepNext/>
        <w:tabs>
          <w:tab w:val="left" w:pos="360"/>
        </w:tabs>
        <w:ind w:left="360" w:hanging="360"/>
        <w:jc w:val="center"/>
        <w:rPr>
          <w:smallCaps/>
        </w:rPr>
      </w:pPr>
      <w:r w:rsidRPr="0036199A">
        <w:rPr>
          <w:smallCaps/>
        </w:rPr>
        <w:t>I</w:t>
      </w:r>
      <w:r w:rsidR="002054FE" w:rsidRPr="0036199A">
        <w:rPr>
          <w:smallCaps/>
        </w:rPr>
        <w:t>V.</w:t>
      </w:r>
      <w:r w:rsidR="002054FE" w:rsidRPr="0036199A">
        <w:rPr>
          <w:smallCaps/>
        </w:rPr>
        <w:tab/>
        <w:t>The Future of Absolute Finality</w:t>
      </w:r>
      <w:r w:rsidR="002054FE">
        <w:rPr>
          <w:smallCaps/>
        </w:rPr>
        <w:t xml:space="preserve"> </w:t>
      </w:r>
    </w:p>
    <w:p w14:paraId="22512413" w14:textId="09399B2B" w:rsidR="002054FE" w:rsidRPr="00ED5FA3" w:rsidRDefault="00D92B68" w:rsidP="002054FE">
      <w:pPr>
        <w:tabs>
          <w:tab w:val="left" w:pos="90"/>
        </w:tabs>
        <w:jc w:val="both"/>
      </w:pPr>
      <w:r>
        <w:t xml:space="preserve">Although the courts </w:t>
      </w:r>
      <w:r w:rsidR="008A55DA">
        <w:t xml:space="preserve">have limited options for adapting </w:t>
      </w:r>
      <w:r w:rsidR="00911489">
        <w:t xml:space="preserve">to </w:t>
      </w:r>
      <w:r w:rsidR="00496233">
        <w:t>parallel regimes for reviewing patent validity</w:t>
      </w:r>
      <w:r>
        <w:t xml:space="preserve">, Congress </w:t>
      </w:r>
      <w:r w:rsidR="00911489">
        <w:t>has more wide-ranging power</w:t>
      </w:r>
      <w:r w:rsidR="00496233">
        <w:t xml:space="preserve"> to harmonize proceedings in court and at the PTO</w:t>
      </w:r>
      <w:r>
        <w:t>.</w:t>
      </w:r>
    </w:p>
    <w:p w14:paraId="7C0B507E" w14:textId="7020377F" w:rsidR="001A48B2" w:rsidRDefault="002054FE" w:rsidP="001A48B2">
      <w:pPr>
        <w:keepNext/>
        <w:tabs>
          <w:tab w:val="left" w:pos="360"/>
        </w:tabs>
        <w:ind w:firstLine="0"/>
        <w:jc w:val="center"/>
      </w:pPr>
      <w:r>
        <w:lastRenderedPageBreak/>
        <w:t>A</w:t>
      </w:r>
      <w:r w:rsidR="001A48B2">
        <w:t>.</w:t>
      </w:r>
      <w:r w:rsidR="001A48B2">
        <w:tab/>
      </w:r>
      <w:r>
        <w:t xml:space="preserve">Court-PTO Conflicts After the </w:t>
      </w:r>
      <w:r w:rsidR="00372B9B">
        <w:t>America Invents Act</w:t>
      </w:r>
    </w:p>
    <w:p w14:paraId="74A123A4" w14:textId="4691DF29" w:rsidR="00881D4A" w:rsidRDefault="00881D4A" w:rsidP="0029277A">
      <w:pPr>
        <w:tabs>
          <w:tab w:val="left" w:pos="360"/>
        </w:tabs>
        <w:jc w:val="both"/>
      </w:pPr>
      <w:r>
        <w:t xml:space="preserve">Some </w:t>
      </w:r>
      <w:r w:rsidR="00B42AC1">
        <w:t>participants in the patent system</w:t>
      </w:r>
      <w:r>
        <w:t xml:space="preserve"> have argued that</w:t>
      </w:r>
      <w:r w:rsidR="00B42AC1">
        <w:t xml:space="preserve"> Congress has, in fact, already </w:t>
      </w:r>
      <w:r w:rsidR="00911489">
        <w:t>addresse</w:t>
      </w:r>
      <w:r w:rsidR="00B42AC1">
        <w:t>d</w:t>
      </w:r>
      <w:r w:rsidR="00911489">
        <w:t xml:space="preserve"> the </w:t>
      </w:r>
      <w:r w:rsidR="006A6456">
        <w:t>issue</w:t>
      </w:r>
      <w:r w:rsidR="00911489">
        <w:t xml:space="preserve"> of conflicting decisions </w:t>
      </w:r>
      <w:r w:rsidR="00892787">
        <w:t>between</w:t>
      </w:r>
      <w:r w:rsidR="00911489">
        <w:t xml:space="preserve"> the courts and the PTO and that, accordingly, t</w:t>
      </w:r>
      <w:r w:rsidR="00192CDE">
        <w:t xml:space="preserve">he absolute finality rule </w:t>
      </w:r>
      <w:r w:rsidR="00192CDE" w:rsidRPr="00164E86">
        <w:t>will not matter in the future</w:t>
      </w:r>
      <w:r w:rsidR="001C4438" w:rsidRPr="00164E86">
        <w:t>.</w:t>
      </w:r>
      <w:bookmarkStart w:id="44" w:name="_Ref300404925"/>
      <w:r w:rsidR="00E45ED0">
        <w:rPr>
          <w:rStyle w:val="FootnoteReference"/>
        </w:rPr>
        <w:footnoteReference w:id="346"/>
      </w:r>
      <w:bookmarkEnd w:id="44"/>
      <w:r w:rsidR="0036199A">
        <w:t xml:space="preserve">  </w:t>
      </w:r>
      <w:r w:rsidR="00D5127E">
        <w:t xml:space="preserve">The most notable way in which the AIA helps avoid conflict is by requiring the </w:t>
      </w:r>
      <w:r w:rsidR="001C4438">
        <w:t xml:space="preserve">post-issuance proceedings </w:t>
      </w:r>
      <w:r w:rsidR="00D5127E">
        <w:t xml:space="preserve">it </w:t>
      </w:r>
      <w:r w:rsidR="001C4438">
        <w:t>created (</w:t>
      </w:r>
      <w:r w:rsidR="00164E86">
        <w:t xml:space="preserve">inter </w:t>
      </w:r>
      <w:proofErr w:type="spellStart"/>
      <w:r w:rsidR="00164E86">
        <w:t>partes</w:t>
      </w:r>
      <w:proofErr w:type="spellEnd"/>
      <w:r w:rsidR="00164E86">
        <w:t xml:space="preserve"> review, post-grant review, and covered business method</w:t>
      </w:r>
      <w:r w:rsidR="001C4438">
        <w:t xml:space="preserve"> review) to conclude</w:t>
      </w:r>
      <w:r w:rsidR="00AD7FDC">
        <w:t>, in most cases,</w:t>
      </w:r>
      <w:r w:rsidR="001C4438">
        <w:t xml:space="preserve"> within one year of the PTAB’s decision to institute</w:t>
      </w:r>
      <w:bookmarkStart w:id="45" w:name="_Ref428893952"/>
      <w:r w:rsidR="00D5127E">
        <w:t>.</w:t>
      </w:r>
      <w:r w:rsidR="00AD7FDC">
        <w:rPr>
          <w:rStyle w:val="FootnoteReference"/>
        </w:rPr>
        <w:footnoteReference w:id="347"/>
      </w:r>
      <w:bookmarkEnd w:id="45"/>
      <w:r w:rsidR="00D5127E">
        <w:t xml:space="preserve">  Because district court patent cases </w:t>
      </w:r>
      <w:r w:rsidR="00125353">
        <w:t>usually do not</w:t>
      </w:r>
      <w:r w:rsidR="00D5127E">
        <w:t xml:space="preserve"> conclude that quickly</w:t>
      </w:r>
      <w:r w:rsidR="00125353">
        <w:t xml:space="preserve"> </w:t>
      </w:r>
      <w:r w:rsidR="00830910">
        <w:t>(</w:t>
      </w:r>
      <w:r w:rsidR="00125353">
        <w:t>unless the parties settle</w:t>
      </w:r>
      <w:r w:rsidR="00830910">
        <w:t>)</w:t>
      </w:r>
      <w:r w:rsidR="00D5127E">
        <w:t xml:space="preserve">, the PTO will </w:t>
      </w:r>
      <w:r w:rsidR="00125353">
        <w:t>often</w:t>
      </w:r>
      <w:r w:rsidR="00D5127E">
        <w:t xml:space="preserve"> finish its post-issuance review before the court proceedings are complete, even if the court proceedings are not stayed</w:t>
      </w:r>
      <w:r w:rsidR="002F42D8">
        <w:t>.</w:t>
      </w:r>
      <w:r w:rsidR="002F42D8">
        <w:rPr>
          <w:rStyle w:val="FootnoteReference"/>
        </w:rPr>
        <w:footnoteReference w:id="348"/>
      </w:r>
    </w:p>
    <w:p w14:paraId="33E74070" w14:textId="2EE58249" w:rsidR="00C51773" w:rsidRDefault="00D5127E" w:rsidP="002C2955">
      <w:pPr>
        <w:pStyle w:val="ListParagraph"/>
        <w:ind w:left="0"/>
        <w:jc w:val="both"/>
      </w:pPr>
      <w:r>
        <w:t xml:space="preserve">But the one-year time limit on PTO review </w:t>
      </w:r>
      <w:r w:rsidR="003115CF">
        <w:t>does</w:t>
      </w:r>
      <w:r>
        <w:t xml:space="preserve"> not eliminate all possibility </w:t>
      </w:r>
      <w:r w:rsidR="00C51773">
        <w:t>of</w:t>
      </w:r>
      <w:r>
        <w:t xml:space="preserve"> conflict.  To </w:t>
      </w:r>
      <w:r w:rsidR="009431C1">
        <w:t>begin</w:t>
      </w:r>
      <w:r>
        <w:t xml:space="preserve"> with, a</w:t>
      </w:r>
      <w:r w:rsidR="00881652">
        <w:t xml:space="preserve"> defendant in patent infringement litigation can wait as long as a </w:t>
      </w:r>
      <w:r w:rsidR="002F42D8">
        <w:t xml:space="preserve">year </w:t>
      </w:r>
      <w:r w:rsidR="00881652">
        <w:t xml:space="preserve">after the complaint is filed </w:t>
      </w:r>
      <w:r w:rsidR="002F42D8">
        <w:t xml:space="preserve">to petition for </w:t>
      </w:r>
      <w:r w:rsidR="00B42AC1">
        <w:t xml:space="preserve">inter </w:t>
      </w:r>
      <w:proofErr w:type="spellStart"/>
      <w:r w:rsidR="00B42AC1">
        <w:t>partes</w:t>
      </w:r>
      <w:proofErr w:type="spellEnd"/>
      <w:r w:rsidR="00B42AC1">
        <w:t xml:space="preserve"> review,</w:t>
      </w:r>
      <w:r w:rsidR="00AD7FDC">
        <w:rPr>
          <w:rStyle w:val="FootnoteReference"/>
        </w:rPr>
        <w:footnoteReference w:id="349"/>
      </w:r>
      <w:r w:rsidR="00B42AC1">
        <w:t xml:space="preserve"> and a</w:t>
      </w:r>
      <w:r w:rsidR="00164E86">
        <w:t xml:space="preserve"> petition for covered business method review can be filed </w:t>
      </w:r>
      <w:r w:rsidR="00B42AC1">
        <w:t xml:space="preserve">almost </w:t>
      </w:r>
      <w:r w:rsidR="00164E86">
        <w:t>any ti</w:t>
      </w:r>
      <w:r w:rsidR="00B42AC1">
        <w:t>me after the complaint is filed</w:t>
      </w:r>
      <w:r w:rsidR="00164E86">
        <w:t>.</w:t>
      </w:r>
      <w:r w:rsidR="00AD7FDC">
        <w:rPr>
          <w:rStyle w:val="FootnoteReference"/>
        </w:rPr>
        <w:footnoteReference w:id="350"/>
      </w:r>
      <w:r w:rsidR="006650E4">
        <w:t xml:space="preserve">  Likewise, a petitioner in inter </w:t>
      </w:r>
      <w:proofErr w:type="spellStart"/>
      <w:r w:rsidR="006650E4">
        <w:t>partes</w:t>
      </w:r>
      <w:proofErr w:type="spellEnd"/>
      <w:r w:rsidR="006650E4">
        <w:t xml:space="preserve"> review who is </w:t>
      </w:r>
      <w:r w:rsidR="006650E4">
        <w:rPr>
          <w:i/>
        </w:rPr>
        <w:t xml:space="preserve">not </w:t>
      </w:r>
      <w:r w:rsidR="006650E4">
        <w:t>a defendant in infringement litigation can also can file its petition at any time.</w:t>
      </w:r>
      <w:r w:rsidR="006650E4">
        <w:rPr>
          <w:rStyle w:val="FootnoteReference"/>
        </w:rPr>
        <w:footnoteReference w:id="351"/>
      </w:r>
      <w:r w:rsidR="002F42D8">
        <w:t xml:space="preserve">  </w:t>
      </w:r>
      <w:r w:rsidR="00C07D89">
        <w:t xml:space="preserve">Further extending the timeline, </w:t>
      </w:r>
      <w:r w:rsidR="0013636F">
        <w:t xml:space="preserve">the patent holder has three months to </w:t>
      </w:r>
      <w:r w:rsidR="0013636F">
        <w:lastRenderedPageBreak/>
        <w:t>respond to the petition,</w:t>
      </w:r>
      <w:r w:rsidR="0013636F">
        <w:rPr>
          <w:rStyle w:val="FootnoteReference"/>
        </w:rPr>
        <w:footnoteReference w:id="352"/>
      </w:r>
      <w:r w:rsidR="0013636F">
        <w:t xml:space="preserve"> and </w:t>
      </w:r>
      <w:r w:rsidR="00C07D89">
        <w:t>t</w:t>
      </w:r>
      <w:r w:rsidR="002F42D8">
        <w:t xml:space="preserve">he </w:t>
      </w:r>
      <w:r w:rsidR="008C6198">
        <w:t>PTAB</w:t>
      </w:r>
      <w:r w:rsidR="002F42D8">
        <w:t xml:space="preserve"> will not act on </w:t>
      </w:r>
      <w:r w:rsidR="00E57EEE">
        <w:t>a</w:t>
      </w:r>
      <w:r w:rsidR="002F42D8">
        <w:t xml:space="preserve"> petition until it receives </w:t>
      </w:r>
      <w:r w:rsidR="00830910">
        <w:t>that</w:t>
      </w:r>
      <w:r w:rsidR="002F42D8">
        <w:t xml:space="preserve"> response</w:t>
      </w:r>
      <w:r w:rsidR="0013636F">
        <w:t>.</w:t>
      </w:r>
      <w:r w:rsidR="002078A7">
        <w:rPr>
          <w:rStyle w:val="FootnoteReference"/>
        </w:rPr>
        <w:footnoteReference w:id="353"/>
      </w:r>
      <w:r w:rsidR="0013636F">
        <w:t xml:space="preserve">  </w:t>
      </w:r>
      <w:r w:rsidR="00312E83">
        <w:t>In addition, t</w:t>
      </w:r>
      <w:r w:rsidR="002F42D8">
        <w:t>he</w:t>
      </w:r>
      <w:r w:rsidR="00C07D89">
        <w:t xml:space="preserve"> PTAB can </w:t>
      </w:r>
      <w:r w:rsidR="008C6198">
        <w:t xml:space="preserve">for good cause </w:t>
      </w:r>
      <w:r w:rsidR="00C07D89">
        <w:t>extend the</w:t>
      </w:r>
      <w:r w:rsidR="002F42D8">
        <w:t xml:space="preserve"> one-year time limit for c</w:t>
      </w:r>
      <w:r w:rsidR="008C6198">
        <w:t>onducting the review</w:t>
      </w:r>
      <w:r w:rsidR="002F42D8">
        <w:t>.</w:t>
      </w:r>
      <w:r w:rsidR="002078A7">
        <w:rPr>
          <w:rStyle w:val="FootnoteReference"/>
        </w:rPr>
        <w:footnoteReference w:id="354"/>
      </w:r>
      <w:r>
        <w:t xml:space="preserve">  </w:t>
      </w:r>
      <w:r w:rsidR="002C2955">
        <w:t>Finally, as discussed above</w:t>
      </w:r>
      <w:r w:rsidR="003115CF">
        <w:t xml:space="preserve">, </w:t>
      </w:r>
      <w:r w:rsidR="002C2955">
        <w:t xml:space="preserve">PTO proceedings are not </w:t>
      </w:r>
      <w:r w:rsidR="00830910">
        <w:t xml:space="preserve">sufficiently </w:t>
      </w:r>
      <w:r w:rsidR="002C2955">
        <w:t xml:space="preserve">final </w:t>
      </w:r>
      <w:r w:rsidR="00830910">
        <w:t xml:space="preserve">to justify abrogating </w:t>
      </w:r>
      <w:r w:rsidR="002C2955">
        <w:t>a district court decision until the Federal Circuit affirms the PTO’s invalidity decision, which can take the better part of an additional year.</w:t>
      </w:r>
      <w:r w:rsidR="002C2955">
        <w:rPr>
          <w:rStyle w:val="FootnoteReference"/>
        </w:rPr>
        <w:footnoteReference w:id="355"/>
      </w:r>
      <w:r w:rsidR="002C2955">
        <w:t xml:space="preserve">  </w:t>
      </w:r>
      <w:r w:rsidR="002F42D8">
        <w:t>Thus,</w:t>
      </w:r>
      <w:r w:rsidR="00321976">
        <w:t xml:space="preserve"> </w:t>
      </w:r>
      <w:r w:rsidR="003366A9">
        <w:t xml:space="preserve">in at </w:t>
      </w:r>
      <w:r>
        <w:t>least some cases, post-issuance proceedings will conclude two or three years after an infringement complaint is filed, which is plenty of time for a court to issue a conflict</w:t>
      </w:r>
      <w:r w:rsidR="002C2955">
        <w:t>ing decision on patent validity,</w:t>
      </w:r>
      <w:r>
        <w:t xml:space="preserve"> particularly in judicial districts that process patent cases relatively quickly</w:t>
      </w:r>
      <w:r w:rsidR="002C2955">
        <w:t>.</w:t>
      </w:r>
      <w:r w:rsidR="0050038F">
        <w:rPr>
          <w:rStyle w:val="FootnoteReference"/>
        </w:rPr>
        <w:footnoteReference w:id="356"/>
      </w:r>
    </w:p>
    <w:p w14:paraId="28BCD4B1" w14:textId="37E67FCF" w:rsidR="00FA2D2C" w:rsidRDefault="002F42D8" w:rsidP="0029277A">
      <w:pPr>
        <w:tabs>
          <w:tab w:val="left" w:pos="360"/>
        </w:tabs>
        <w:jc w:val="both"/>
      </w:pPr>
      <w:r w:rsidRPr="006E6C88">
        <w:t>Likewise,</w:t>
      </w:r>
      <w:r>
        <w:t xml:space="preserve"> </w:t>
      </w:r>
      <w:r w:rsidR="00C13A51">
        <w:t>contrary to some suggestions,</w:t>
      </w:r>
      <w:r w:rsidR="00C13A51">
        <w:rPr>
          <w:rStyle w:val="FootnoteReference"/>
        </w:rPr>
        <w:footnoteReference w:id="357"/>
      </w:r>
      <w:r w:rsidR="00C13A51">
        <w:t xml:space="preserve"> </w:t>
      </w:r>
      <w:r>
        <w:t xml:space="preserve">the AIA’s estoppel provisions will not prevent conflicting </w:t>
      </w:r>
      <w:r w:rsidR="00BF6F6E">
        <w:t>decisions between the courts and the PTO</w:t>
      </w:r>
      <w:r>
        <w:t xml:space="preserve">. </w:t>
      </w:r>
      <w:r w:rsidR="008137A5">
        <w:t xml:space="preserve"> </w:t>
      </w:r>
      <w:r w:rsidR="006E6C88">
        <w:t>As discussed above, t</w:t>
      </w:r>
      <w:r>
        <w:t>h</w:t>
      </w:r>
      <w:r w:rsidR="008C6198">
        <w:t xml:space="preserve">ose </w:t>
      </w:r>
      <w:r w:rsidR="003366A9">
        <w:t xml:space="preserve">provisions </w:t>
      </w:r>
      <w:r>
        <w:t>prevent accused infringer</w:t>
      </w:r>
      <w:r w:rsidR="00C07D89">
        <w:t>s</w:t>
      </w:r>
      <w:r>
        <w:t xml:space="preserve"> from pursuing arguments in court that they have already pursued</w:t>
      </w:r>
      <w:r w:rsidR="00CC0FCA">
        <w:t xml:space="preserve"> or, in </w:t>
      </w:r>
      <w:r w:rsidR="007A683D">
        <w:t xml:space="preserve">some cases, </w:t>
      </w:r>
      <w:r w:rsidR="00CC0FCA">
        <w:t>could have pursued</w:t>
      </w:r>
      <w:r w:rsidR="006E6C88">
        <w:t>,</w:t>
      </w:r>
      <w:r>
        <w:t xml:space="preserve"> before the </w:t>
      </w:r>
      <w:r w:rsidR="008C6198">
        <w:t>PTAB</w:t>
      </w:r>
      <w:r>
        <w:t>.</w:t>
      </w:r>
      <w:r w:rsidR="00CC0FCA">
        <w:rPr>
          <w:rStyle w:val="FootnoteReference"/>
        </w:rPr>
        <w:footnoteReference w:id="358"/>
      </w:r>
      <w:r w:rsidR="00CC0FCA">
        <w:t xml:space="preserve">  </w:t>
      </w:r>
      <w:r>
        <w:t xml:space="preserve">But </w:t>
      </w:r>
      <w:r w:rsidR="00CC0FCA">
        <w:t>the estoppel provisions are irrelevant</w:t>
      </w:r>
      <w:r>
        <w:t xml:space="preserve"> if, as </w:t>
      </w:r>
      <w:r w:rsidR="00AE4EF3">
        <w:t xml:space="preserve">commonly occurs in cases that result in conflicting decisions, </w:t>
      </w:r>
      <w:r>
        <w:t>the accused infrin</w:t>
      </w:r>
      <w:r w:rsidR="00F05E7D">
        <w:t xml:space="preserve">ger loses first in </w:t>
      </w:r>
      <w:r>
        <w:t xml:space="preserve">court and wins later at the </w:t>
      </w:r>
      <w:r w:rsidR="008C6198">
        <w:t>PTAB</w:t>
      </w:r>
      <w:r>
        <w:t>.</w:t>
      </w:r>
      <w:r w:rsidR="00011DCD">
        <w:t xml:space="preserve">  Under </w:t>
      </w:r>
      <w:r w:rsidR="005B4A18">
        <w:t>the AIA, a loss in court has no</w:t>
      </w:r>
      <w:r w:rsidR="00011DCD">
        <w:t xml:space="preserve"> estoppel effect at the PTAB.</w:t>
      </w:r>
      <w:r w:rsidR="00CC0FCA">
        <w:t xml:space="preserve"> </w:t>
      </w:r>
    </w:p>
    <w:p w14:paraId="550DA5F8" w14:textId="317C7DFE" w:rsidR="000C1290" w:rsidRDefault="005B4A18" w:rsidP="0029277A">
      <w:pPr>
        <w:tabs>
          <w:tab w:val="left" w:pos="360"/>
        </w:tabs>
        <w:jc w:val="both"/>
      </w:pPr>
      <w:r>
        <w:t xml:space="preserve">Finally, but perhaps most importantly, </w:t>
      </w:r>
      <w:r w:rsidR="00F64A2E">
        <w:t>the AIA leaves unaffected</w:t>
      </w:r>
      <w:r w:rsidR="008E66D1">
        <w:t xml:space="preserve"> </w:t>
      </w:r>
      <w:r w:rsidR="00D50579">
        <w:t xml:space="preserve">ex parte reexamination, which was the </w:t>
      </w:r>
      <w:r w:rsidR="00830910">
        <w:t xml:space="preserve">PTO </w:t>
      </w:r>
      <w:r>
        <w:t>proceeding</w:t>
      </w:r>
      <w:r w:rsidR="00D50579">
        <w:t xml:space="preserve"> at issue in</w:t>
      </w:r>
      <w:r w:rsidR="00FA2D2C">
        <w:t xml:space="preserve"> </w:t>
      </w:r>
      <w:r w:rsidR="00FA2D2C">
        <w:rPr>
          <w:i/>
        </w:rPr>
        <w:t>Fresenius</w:t>
      </w:r>
      <w:r w:rsidR="00FA2D2C">
        <w:t xml:space="preserve"> </w:t>
      </w:r>
      <w:r w:rsidR="00D50579">
        <w:t xml:space="preserve">and </w:t>
      </w:r>
      <w:proofErr w:type="spellStart"/>
      <w:r w:rsidR="00D50579">
        <w:rPr>
          <w:i/>
        </w:rPr>
        <w:t>ePlus</w:t>
      </w:r>
      <w:proofErr w:type="spellEnd"/>
      <w:r w:rsidR="00563940">
        <w:t>.  Ex parte reexamination</w:t>
      </w:r>
      <w:r w:rsidR="008E66D1">
        <w:t xml:space="preserve"> remains available </w:t>
      </w:r>
      <w:r w:rsidR="00D66BC2">
        <w:t xml:space="preserve">after the AIA and, thanks in part to the absolute finality rule, </w:t>
      </w:r>
      <w:r w:rsidR="002F3D26">
        <w:t xml:space="preserve">it </w:t>
      </w:r>
      <w:r w:rsidR="00D66BC2">
        <w:t xml:space="preserve">will likely remain an attractive option for </w:t>
      </w:r>
      <w:r w:rsidR="00AD02B3">
        <w:t xml:space="preserve">at least some </w:t>
      </w:r>
      <w:r w:rsidR="00D66BC2">
        <w:t>accused infringer</w:t>
      </w:r>
      <w:r w:rsidR="00563940">
        <w:t>s</w:t>
      </w:r>
      <w:r w:rsidR="00D66BC2">
        <w:t>.</w:t>
      </w:r>
      <w:r w:rsidR="00BF6F6E">
        <w:rPr>
          <w:rStyle w:val="FootnoteReference"/>
        </w:rPr>
        <w:footnoteReference w:id="359"/>
      </w:r>
      <w:r w:rsidR="00D66BC2">
        <w:t xml:space="preserve">  </w:t>
      </w:r>
      <w:r w:rsidR="007A683D">
        <w:t>U</w:t>
      </w:r>
      <w:r w:rsidR="00D66BC2">
        <w:t xml:space="preserve">nlike inter </w:t>
      </w:r>
      <w:proofErr w:type="spellStart"/>
      <w:r w:rsidR="00D66BC2">
        <w:t>partes</w:t>
      </w:r>
      <w:proofErr w:type="spellEnd"/>
      <w:r w:rsidR="00D66BC2">
        <w:t xml:space="preserve"> review</w:t>
      </w:r>
      <w:r w:rsidR="00830910">
        <w:t>, which an accused infringer must seek within a year of being sued for infringement</w:t>
      </w:r>
      <w:r w:rsidR="00D66BC2">
        <w:t>, ex parte reexamination can be requested at any time</w:t>
      </w:r>
      <w:r w:rsidR="00830910">
        <w:t>.</w:t>
      </w:r>
      <w:r w:rsidR="00D66BC2">
        <w:rPr>
          <w:rStyle w:val="FootnoteReference"/>
        </w:rPr>
        <w:footnoteReference w:id="360"/>
      </w:r>
      <w:r w:rsidR="00830910">
        <w:t xml:space="preserve">  A</w:t>
      </w:r>
      <w:r w:rsidR="00D50579">
        <w:t>nd there are no statutory e</w:t>
      </w:r>
      <w:r w:rsidR="00D66BC2">
        <w:t xml:space="preserve">stoppel provisions.  </w:t>
      </w:r>
      <w:r w:rsidR="00F05E7D">
        <w:t>Ex parte reexamination thus</w:t>
      </w:r>
      <w:r w:rsidR="00D66BC2">
        <w:t xml:space="preserve"> allows </w:t>
      </w:r>
      <w:r w:rsidR="00830910">
        <w:t>an</w:t>
      </w:r>
      <w:r w:rsidR="00D66BC2">
        <w:t xml:space="preserve"> accused infringer to adopt a wait-and-see approach </w:t>
      </w:r>
      <w:r w:rsidR="00D66BC2">
        <w:lastRenderedPageBreak/>
        <w:t xml:space="preserve">toward litigation:  if </w:t>
      </w:r>
      <w:r w:rsidR="00830910">
        <w:t>the accused infringer</w:t>
      </w:r>
      <w:r w:rsidR="00D66BC2">
        <w:t xml:space="preserve"> </w:t>
      </w:r>
      <w:r w:rsidR="007A683D">
        <w:t>proves invalidity in litigation</w:t>
      </w:r>
      <w:r w:rsidR="00D66BC2">
        <w:t xml:space="preserve">, </w:t>
      </w:r>
      <w:r w:rsidR="003007B7">
        <w:t>there is no need for review by the PTO</w:t>
      </w:r>
      <w:r w:rsidR="007A683D">
        <w:t xml:space="preserve">; </w:t>
      </w:r>
      <w:r w:rsidR="00D66BC2">
        <w:t xml:space="preserve">if </w:t>
      </w:r>
      <w:r w:rsidR="00BF6F6E">
        <w:t>litigation</w:t>
      </w:r>
      <w:r w:rsidR="00D66BC2">
        <w:t xml:space="preserve"> is not going well, </w:t>
      </w:r>
      <w:r w:rsidR="003C5106">
        <w:t xml:space="preserve">it can </w:t>
      </w:r>
      <w:r w:rsidR="00D66BC2">
        <w:t>request ex parte reexamination.  That is basically the strategy Fresenius employed in its litigation with Baxter,</w:t>
      </w:r>
      <w:r w:rsidR="003C65D2">
        <w:t xml:space="preserve"> seeking reexamination only after an adverse ruling on summary judgment.</w:t>
      </w:r>
      <w:r w:rsidR="00D66BC2">
        <w:rPr>
          <w:rStyle w:val="FootnoteReference"/>
        </w:rPr>
        <w:footnoteReference w:id="361"/>
      </w:r>
      <w:r w:rsidR="003C65D2">
        <w:t xml:space="preserve">  A</w:t>
      </w:r>
      <w:r w:rsidR="00D66BC2">
        <w:t>nd the Federal Circuit’s holding in that case ensures that, so long as the accused infringer can string out the litigation for a sufficiently long time, the infringer will be able to invoke any favorable decision by the PTO.</w:t>
      </w:r>
    </w:p>
    <w:p w14:paraId="47B26D88" w14:textId="61BC0A40" w:rsidR="00D50579" w:rsidRDefault="000C1290" w:rsidP="0029277A">
      <w:pPr>
        <w:tabs>
          <w:tab w:val="left" w:pos="360"/>
        </w:tabs>
        <w:jc w:val="both"/>
      </w:pPr>
      <w:r>
        <w:t xml:space="preserve">To be sure, most cases involving parallel proceedings in court and </w:t>
      </w:r>
      <w:r w:rsidR="00F64A2E">
        <w:t xml:space="preserve">at </w:t>
      </w:r>
      <w:r>
        <w:t>the PTO will not result in conflicting decisions on patent validity.</w:t>
      </w:r>
      <w:r w:rsidR="00AD02B3">
        <w:t xml:space="preserve">  Litigation is often stayed, or PTO proceedings conclude before any decisive court ruling on validity, or the parties simply settle.  And, despite the opportunity for gamesmanship presented by ex parte reexamination, </w:t>
      </w:r>
      <w:r w:rsidR="00F05E7D">
        <w:t>many</w:t>
      </w:r>
      <w:r w:rsidR="00AD02B3">
        <w:t xml:space="preserve"> accused infringers will choose inter </w:t>
      </w:r>
      <w:proofErr w:type="spellStart"/>
      <w:r w:rsidR="00AD02B3">
        <w:t>partes</w:t>
      </w:r>
      <w:proofErr w:type="spellEnd"/>
      <w:r w:rsidR="00AD02B3">
        <w:t xml:space="preserve"> review because it provides an opportunity to participate in the proceedings and it is more likely than ex parte reexamination to lead to </w:t>
      </w:r>
      <w:r w:rsidR="00F05E7D">
        <w:t xml:space="preserve">outright </w:t>
      </w:r>
      <w:r w:rsidR="00AD02B3">
        <w:t>invalidation of the patent.  Still, because ex parte reexamination remains available, and because post-issuance proceedings under the AIA will not always conclude before district court li</w:t>
      </w:r>
      <w:r w:rsidR="00011DCD">
        <w:t>tigation,</w:t>
      </w:r>
      <w:r w:rsidR="00AD02B3">
        <w:t xml:space="preserve"> </w:t>
      </w:r>
      <w:r w:rsidR="00D50579">
        <w:t xml:space="preserve">the </w:t>
      </w:r>
      <w:r w:rsidR="007A683D">
        <w:t xml:space="preserve">problem of conflicting court and </w:t>
      </w:r>
      <w:r w:rsidR="00D50579">
        <w:t xml:space="preserve">PTO decisions </w:t>
      </w:r>
      <w:r w:rsidR="00374B5F">
        <w:t>will</w:t>
      </w:r>
      <w:r w:rsidR="00D50579">
        <w:t xml:space="preserve"> </w:t>
      </w:r>
      <w:r w:rsidR="003115CF">
        <w:t xml:space="preserve">likely </w:t>
      </w:r>
      <w:r w:rsidR="00D50579">
        <w:t xml:space="preserve">continue to arise, </w:t>
      </w:r>
      <w:r w:rsidR="003A6E85">
        <w:t>even after the AIA</w:t>
      </w:r>
      <w:r w:rsidR="007A683D">
        <w:t>.</w:t>
      </w:r>
    </w:p>
    <w:p w14:paraId="5751D1A2" w14:textId="61553E3D" w:rsidR="00F52EE6" w:rsidRPr="00192CDE" w:rsidRDefault="00F52EE6" w:rsidP="007A683D">
      <w:pPr>
        <w:keepNext/>
        <w:tabs>
          <w:tab w:val="left" w:pos="360"/>
        </w:tabs>
        <w:ind w:left="360" w:hanging="360"/>
        <w:jc w:val="center"/>
      </w:pPr>
      <w:r w:rsidRPr="00F6395D">
        <w:t>B.</w:t>
      </w:r>
      <w:r w:rsidRPr="00F6395D">
        <w:tab/>
        <w:t>Legislative Solutions</w:t>
      </w:r>
    </w:p>
    <w:p w14:paraId="54FC9251" w14:textId="5AF383CA" w:rsidR="00242846" w:rsidRDefault="007A683D" w:rsidP="0029277A">
      <w:pPr>
        <w:tabs>
          <w:tab w:val="left" w:pos="0"/>
        </w:tabs>
        <w:jc w:val="both"/>
      </w:pPr>
      <w:r>
        <w:t>The</w:t>
      </w:r>
      <w:r w:rsidR="0092695F">
        <w:t xml:space="preserve"> question remains whether there is any way to </w:t>
      </w:r>
      <w:r w:rsidR="00E42459">
        <w:t xml:space="preserve">fully </w:t>
      </w:r>
      <w:r w:rsidR="0092695F">
        <w:t xml:space="preserve">eliminate conflicting decisions between the courts and the PTO without </w:t>
      </w:r>
      <w:r w:rsidR="0050038F">
        <w:t>causing undue harm to</w:t>
      </w:r>
      <w:r w:rsidR="0092695F">
        <w:t xml:space="preserve"> the patent system.  The</w:t>
      </w:r>
      <w:r>
        <w:t xml:space="preserve"> </w:t>
      </w:r>
      <w:r w:rsidR="00374B5F">
        <w:t>surest</w:t>
      </w:r>
      <w:r>
        <w:t xml:space="preserve"> </w:t>
      </w:r>
      <w:r w:rsidR="00374B5F">
        <w:t xml:space="preserve">way to eliminate </w:t>
      </w:r>
      <w:r w:rsidR="002F3D26">
        <w:t>conflicting decisions</w:t>
      </w:r>
      <w:r>
        <w:t xml:space="preserve"> would </w:t>
      </w:r>
      <w:r w:rsidR="003C5106">
        <w:t>be</w:t>
      </w:r>
      <w:r w:rsidR="0057751A">
        <w:t xml:space="preserve"> </w:t>
      </w:r>
      <w:r w:rsidR="00104159">
        <w:t xml:space="preserve">to force litigants </w:t>
      </w:r>
      <w:r w:rsidR="00DE151E">
        <w:t>into a single</w:t>
      </w:r>
      <w:r w:rsidR="005B4A18">
        <w:t xml:space="preserve"> forum</w:t>
      </w:r>
      <w:r w:rsidR="00104159">
        <w:t>.</w:t>
      </w:r>
      <w:r w:rsidR="003A6E85">
        <w:t xml:space="preserve">  This reform has already been partly realized through frequent judicial stays of litigation pe</w:t>
      </w:r>
      <w:r w:rsidR="00242846">
        <w:t>nding post-issu</w:t>
      </w:r>
      <w:r w:rsidR="00B6544D">
        <w:t>ance review</w:t>
      </w:r>
      <w:r w:rsidR="00374B5F">
        <w:t xml:space="preserve">.  But, </w:t>
      </w:r>
      <w:r w:rsidR="00B6544D">
        <w:t xml:space="preserve">as discussed, </w:t>
      </w:r>
      <w:r w:rsidR="005432A7">
        <w:t>courts do not invariably grant stay motions</w:t>
      </w:r>
      <w:r w:rsidR="00830910">
        <w:t xml:space="preserve"> and they are particularly reluctant to grant stays pending ex parte reexamination</w:t>
      </w:r>
      <w:r w:rsidR="005432A7">
        <w:t>,</w:t>
      </w:r>
      <w:r w:rsidR="00B6544D">
        <w:rPr>
          <w:rStyle w:val="FootnoteReference"/>
        </w:rPr>
        <w:footnoteReference w:id="362"/>
      </w:r>
      <w:r w:rsidR="00374B5F">
        <w:t xml:space="preserve"> s</w:t>
      </w:r>
      <w:r w:rsidR="00563940">
        <w:t>o the court</w:t>
      </w:r>
      <w:r w:rsidR="006B7D91">
        <w:t>s</w:t>
      </w:r>
      <w:r w:rsidR="00563940">
        <w:t xml:space="preserve"> themselves are unlikely to </w:t>
      </w:r>
      <w:r w:rsidR="00CE6EAC">
        <w:t xml:space="preserve">fully </w:t>
      </w:r>
      <w:r w:rsidR="00563940">
        <w:t>eliminate conflicting decisions on patent validity.</w:t>
      </w:r>
    </w:p>
    <w:p w14:paraId="016FED40" w14:textId="70EC2C28" w:rsidR="00850E53" w:rsidRDefault="0050038F" w:rsidP="00126EC1">
      <w:pPr>
        <w:tabs>
          <w:tab w:val="left" w:pos="0"/>
        </w:tabs>
        <w:jc w:val="both"/>
      </w:pPr>
      <w:r>
        <w:t xml:space="preserve">One way in which </w:t>
      </w:r>
      <w:r w:rsidR="00DE151E">
        <w:t>Congress could force litigants into a single forum</w:t>
      </w:r>
      <w:r w:rsidR="00631AAD">
        <w:t xml:space="preserve"> would be to adopt </w:t>
      </w:r>
      <w:r w:rsidR="00990EB0">
        <w:t>a regime of staged adjudication in which one body, either the courts or the PTO, would decide all of the issues within its authority before the other body</w:t>
      </w:r>
      <w:r w:rsidR="00E57EEE">
        <w:t xml:space="preserve"> is allowed</w:t>
      </w:r>
      <w:r w:rsidR="00990EB0">
        <w:t xml:space="preserve"> to proceed.</w:t>
      </w:r>
      <w:r w:rsidR="00CF089F">
        <w:rPr>
          <w:rStyle w:val="FootnoteReference"/>
        </w:rPr>
        <w:footnoteReference w:id="363"/>
      </w:r>
      <w:r w:rsidR="00CF089F">
        <w:t xml:space="preserve">  Given </w:t>
      </w:r>
      <w:r w:rsidR="007A683D">
        <w:t xml:space="preserve">the </w:t>
      </w:r>
      <w:r w:rsidR="00CF089F">
        <w:t>political reality</w:t>
      </w:r>
      <w:r w:rsidR="008137A5">
        <w:t xml:space="preserve"> favoring expansion of PTO proceedings</w:t>
      </w:r>
      <w:r w:rsidR="00CF089F">
        <w:t xml:space="preserve"> and </w:t>
      </w:r>
      <w:r w:rsidR="00126EC1">
        <w:t>the Seventh Amendment guarantee of a jury</w:t>
      </w:r>
      <w:r w:rsidR="008137A5">
        <w:t xml:space="preserve"> trial</w:t>
      </w:r>
      <w:r w:rsidR="00126EC1">
        <w:t xml:space="preserve"> on the issue of </w:t>
      </w:r>
      <w:r w:rsidR="00126EC1">
        <w:lastRenderedPageBreak/>
        <w:t>infringement</w:t>
      </w:r>
      <w:r w:rsidR="00CF089F">
        <w:t>,</w:t>
      </w:r>
      <w:r w:rsidR="00126EC1">
        <w:rPr>
          <w:rStyle w:val="FootnoteReference"/>
        </w:rPr>
        <w:footnoteReference w:id="364"/>
      </w:r>
      <w:r w:rsidR="00CF089F">
        <w:t xml:space="preserve"> the most plausible model of staged adjudication would</w:t>
      </w:r>
      <w:r w:rsidR="00F64F37">
        <w:t xml:space="preserve"> require the parties to first litigate </w:t>
      </w:r>
      <w:r w:rsidR="00631AAD">
        <w:t xml:space="preserve">all </w:t>
      </w:r>
      <w:r w:rsidR="00F64F37">
        <w:t xml:space="preserve">validity </w:t>
      </w:r>
      <w:r w:rsidR="00631AAD">
        <w:t xml:space="preserve">and enforceability </w:t>
      </w:r>
      <w:r w:rsidR="00F64F37">
        <w:t>issues at the PTO before moving on to court proceedings</w:t>
      </w:r>
      <w:r w:rsidR="00631AAD">
        <w:t xml:space="preserve"> on infringement and damages</w:t>
      </w:r>
      <w:r w:rsidR="00F64F37">
        <w:t>.</w:t>
      </w:r>
      <w:r w:rsidR="00F64F37">
        <w:rPr>
          <w:rStyle w:val="FootnoteReference"/>
        </w:rPr>
        <w:footnoteReference w:id="365"/>
      </w:r>
      <w:r w:rsidR="00F64F37">
        <w:t xml:space="preserve">  </w:t>
      </w:r>
    </w:p>
    <w:p w14:paraId="5F301F71" w14:textId="7D370580" w:rsidR="00850E53" w:rsidRDefault="00850E53" w:rsidP="00850E53">
      <w:pPr>
        <w:tabs>
          <w:tab w:val="left" w:pos="0"/>
        </w:tabs>
        <w:jc w:val="both"/>
      </w:pPr>
      <w:r>
        <w:t xml:space="preserve">Assigning </w:t>
      </w:r>
      <w:r w:rsidR="005B4A18">
        <w:t xml:space="preserve">all </w:t>
      </w:r>
      <w:r>
        <w:t>validity issues to the patent office may be a good thing from the perspective of institutional design, for the PTO</w:t>
      </w:r>
      <w:r w:rsidR="00631AAD">
        <w:t xml:space="preserve"> </w:t>
      </w:r>
      <w:r>
        <w:t>has expert examiners and administrative patent judges who may be better equipped than a federal district judge or a jury to expeditiously resolve the issue of patent validity.</w:t>
      </w:r>
      <w:bookmarkStart w:id="46" w:name="_Ref428893961"/>
      <w:r>
        <w:rPr>
          <w:rStyle w:val="FootnoteReference"/>
        </w:rPr>
        <w:footnoteReference w:id="366"/>
      </w:r>
      <w:bookmarkEnd w:id="46"/>
      <w:r>
        <w:t xml:space="preserve">  The notion of essentially referring questions of validity to the PTO mirrors John Duffy’s proposal that courts invoke administrative law’s primary jurisdiction doctrine to obtain an authoritative claim construction from the agency.</w:t>
      </w:r>
      <w:r>
        <w:rPr>
          <w:rStyle w:val="FootnoteReference"/>
        </w:rPr>
        <w:footnoteReference w:id="367"/>
      </w:r>
      <w:r>
        <w:t xml:space="preserve">  </w:t>
      </w:r>
    </w:p>
    <w:p w14:paraId="46E2211E" w14:textId="3A5C2EDC" w:rsidR="00850E53" w:rsidRDefault="00850E53" w:rsidP="00850E53">
      <w:pPr>
        <w:tabs>
          <w:tab w:val="left" w:pos="0"/>
        </w:tabs>
        <w:jc w:val="both"/>
      </w:pPr>
      <w:r>
        <w:t xml:space="preserve">Shifting validity proceedings entirely to the PTO, however, would be a </w:t>
      </w:r>
      <w:r w:rsidR="009A5AF0">
        <w:t xml:space="preserve">drastic </w:t>
      </w:r>
      <w:r>
        <w:t>change, as courts have had the power to issue validity rulings since Congress passed the very first Patent Act in 1790.</w:t>
      </w:r>
      <w:r>
        <w:rPr>
          <w:rStyle w:val="FootnoteReference"/>
        </w:rPr>
        <w:footnoteReference w:id="368"/>
      </w:r>
      <w:r>
        <w:t xml:space="preserve">  </w:t>
      </w:r>
      <w:r w:rsidR="009A5AF0">
        <w:t>S</w:t>
      </w:r>
      <w:r>
        <w:t xml:space="preserve">taging adjudication of patent cases would </w:t>
      </w:r>
      <w:r w:rsidR="009A5AF0">
        <w:t xml:space="preserve">also </w:t>
      </w:r>
      <w:r>
        <w:t xml:space="preserve">impose costs, both on patent owners and the public.  For patent owners, staging would delay enforcement of the patent and grant the accused infringer additional leverage in negotiating a settlement on favorable terms.  For the public, shifting all validity proceedings to the PTO would likely require </w:t>
      </w:r>
      <w:r w:rsidR="00347EE6">
        <w:t xml:space="preserve">an </w:t>
      </w:r>
      <w:r>
        <w:t>increas</w:t>
      </w:r>
      <w:r w:rsidR="00EB4ECD">
        <w:t>e in</w:t>
      </w:r>
      <w:r>
        <w:t xml:space="preserve"> the PTO</w:t>
      </w:r>
      <w:r w:rsidR="00011DCD">
        <w:t>’s resources</w:t>
      </w:r>
      <w:r w:rsidR="00631AAD">
        <w:t xml:space="preserve">, most notably, </w:t>
      </w:r>
      <w:r w:rsidR="009A5AF0">
        <w:t xml:space="preserve">the hiring of </w:t>
      </w:r>
      <w:r w:rsidR="00631AAD">
        <w:t xml:space="preserve">additional </w:t>
      </w:r>
      <w:r w:rsidR="009A5AF0">
        <w:lastRenderedPageBreak/>
        <w:t>administrative patent judges.</w:t>
      </w:r>
      <w:r w:rsidR="009A5AF0">
        <w:rPr>
          <w:rStyle w:val="FootnoteReference"/>
        </w:rPr>
        <w:footnoteReference w:id="369"/>
      </w:r>
      <w:r w:rsidR="009A5AF0">
        <w:t xml:space="preserve">  </w:t>
      </w:r>
      <w:r w:rsidR="00631AAD">
        <w:t>(Recall that t</w:t>
      </w:r>
      <w:r w:rsidR="009A5AF0">
        <w:t xml:space="preserve">he only grounds for invalidity that the PTAB may currently consider in inter </w:t>
      </w:r>
      <w:proofErr w:type="spellStart"/>
      <w:r w:rsidR="009A5AF0">
        <w:t>partes</w:t>
      </w:r>
      <w:proofErr w:type="spellEnd"/>
      <w:r w:rsidR="009A5AF0">
        <w:t xml:space="preserve"> review are anticipation and obviousness; it cannot consider other important issues such as patentable subject matter under § 101 of the Patent Act</w:t>
      </w:r>
      <w:r w:rsidR="00631AAD">
        <w:t xml:space="preserve">, </w:t>
      </w:r>
      <w:r w:rsidR="009A5AF0">
        <w:t>the disclosure requirements imposed by § 112</w:t>
      </w:r>
      <w:r w:rsidR="00631AAD">
        <w:t>, or unenforceability defenses such as inequitable conduct</w:t>
      </w:r>
      <w:r w:rsidR="009A5AF0">
        <w:t>.</w:t>
      </w:r>
      <w:r w:rsidR="009A5AF0">
        <w:rPr>
          <w:rStyle w:val="FootnoteReference"/>
        </w:rPr>
        <w:footnoteReference w:id="370"/>
      </w:r>
      <w:r w:rsidR="00631AAD">
        <w:t xml:space="preserve">)  </w:t>
      </w:r>
      <w:r w:rsidR="009A5AF0">
        <w:t>The PTO has already grown substantially in recent years, and it is not clear whether this bureaucratic expansion is sustainable.</w:t>
      </w:r>
      <w:r w:rsidR="009A5AF0">
        <w:rPr>
          <w:rStyle w:val="FootnoteReference"/>
        </w:rPr>
        <w:footnoteReference w:id="371"/>
      </w:r>
      <w:r w:rsidR="009A5AF0">
        <w:t xml:space="preserve">  </w:t>
      </w:r>
      <w:r w:rsidR="00347EE6">
        <w:t xml:space="preserve"> </w:t>
      </w:r>
      <w:r>
        <w:t xml:space="preserve"> </w:t>
      </w:r>
    </w:p>
    <w:p w14:paraId="38D71760" w14:textId="7D7E8642" w:rsidR="008D6E70" w:rsidRDefault="005C1B23" w:rsidP="00850E53">
      <w:pPr>
        <w:tabs>
          <w:tab w:val="left" w:pos="0"/>
        </w:tabs>
        <w:jc w:val="both"/>
      </w:pPr>
      <w:r>
        <w:t xml:space="preserve">In short, there are reasonable arguments both in favor of shifting all validity proceedings to the PTO and in favor of the status quo, in which the PTO has the ability to decide some (but not all) issues of validity and in which the courts often (but not always) stay litigation pending PTO review.  The elimination of conflicting decisions might be one additional consideration in favor of shifting all validity proceedings to the PTO but, again, because conflicting decisions occur in only a subset of cases, that consideration should </w:t>
      </w:r>
      <w:r w:rsidR="00631AAD">
        <w:t xml:space="preserve">probably </w:t>
      </w:r>
      <w:r>
        <w:t xml:space="preserve">not be dipositive on this complex question of institutional design.  </w:t>
      </w:r>
    </w:p>
    <w:p w14:paraId="514631D2" w14:textId="5EB20CFB" w:rsidR="008C0762" w:rsidRDefault="005C1B23" w:rsidP="001E45BD">
      <w:pPr>
        <w:tabs>
          <w:tab w:val="left" w:pos="0"/>
        </w:tabs>
        <w:jc w:val="both"/>
      </w:pPr>
      <w:r>
        <w:t>But t</w:t>
      </w:r>
      <w:r w:rsidR="00E61EA8" w:rsidRPr="00420E70">
        <w:t>hat</w:t>
      </w:r>
      <w:r w:rsidR="00E61EA8">
        <w:t xml:space="preserve"> does not mean Congress should</w:t>
      </w:r>
      <w:r w:rsidR="00631AAD">
        <w:t xml:space="preserve"> simply</w:t>
      </w:r>
      <w:r w:rsidR="00E61EA8">
        <w:t xml:space="preserve"> ignore the problem of conflicting court and PTO decisions.  After all, it is a problem </w:t>
      </w:r>
      <w:r w:rsidR="002F3D26">
        <w:t>Congress created</w:t>
      </w:r>
      <w:r w:rsidR="003007B7">
        <w:t xml:space="preserve"> when it enacted post-issuance review</w:t>
      </w:r>
      <w:r w:rsidR="000170E0">
        <w:t xml:space="preserve">.  One step Congress </w:t>
      </w:r>
      <w:r w:rsidR="001726B0">
        <w:t>might</w:t>
      </w:r>
      <w:r w:rsidR="000170E0">
        <w:t xml:space="preserve"> consider is strengthening the </w:t>
      </w:r>
      <w:r w:rsidR="000170E0" w:rsidRPr="00420E70">
        <w:t>estoppel</w:t>
      </w:r>
      <w:r w:rsidR="000170E0">
        <w:t xml:space="preserve"> provisions </w:t>
      </w:r>
      <w:r w:rsidR="001726B0">
        <w:t>that govern the relationship between litigation in court and post-issuance review at the PTO</w:t>
      </w:r>
      <w:r w:rsidR="000170E0">
        <w:t xml:space="preserve">.  </w:t>
      </w:r>
      <w:r w:rsidR="00420E70">
        <w:t xml:space="preserve">Under the </w:t>
      </w:r>
      <w:r w:rsidR="005432A7">
        <w:t>AIA,</w:t>
      </w:r>
      <w:r w:rsidR="00420E70">
        <w:t xml:space="preserve"> estoppel flows only one way:  proceedings at the PTAB can prohibit the patent challenger from raising certain argument</w:t>
      </w:r>
      <w:r w:rsidR="00A90DCF">
        <w:t>s</w:t>
      </w:r>
      <w:r w:rsidR="00420E70">
        <w:t xml:space="preserve"> in later litigation</w:t>
      </w:r>
      <w:r w:rsidR="00A90DCF">
        <w:t>,</w:t>
      </w:r>
      <w:r w:rsidR="00A90DCF">
        <w:rPr>
          <w:rStyle w:val="FootnoteReference"/>
        </w:rPr>
        <w:footnoteReference w:id="372"/>
      </w:r>
      <w:r w:rsidR="00A90DCF">
        <w:t xml:space="preserve"> but </w:t>
      </w:r>
      <w:r w:rsidR="001B5250">
        <w:t xml:space="preserve">a patent challenger who unsuccessfully raises an invalidity argument in court can still pursue that argument at the </w:t>
      </w:r>
      <w:r w:rsidR="008C0762">
        <w:t>PTAB</w:t>
      </w:r>
      <w:r w:rsidR="00420E70">
        <w:t>.</w:t>
      </w:r>
      <w:r w:rsidR="001726B0">
        <w:t xml:space="preserve">  Accordingly, one might suggest that</w:t>
      </w:r>
      <w:r w:rsidR="00420E70">
        <w:t xml:space="preserve"> </w:t>
      </w:r>
      <w:r w:rsidR="007021E8">
        <w:t xml:space="preserve">a </w:t>
      </w:r>
      <w:r w:rsidR="00420E70">
        <w:t xml:space="preserve">court decision </w:t>
      </w:r>
      <w:r w:rsidR="007021E8">
        <w:t xml:space="preserve">rejecting a validity challenge </w:t>
      </w:r>
      <w:r w:rsidR="00011DCD">
        <w:t xml:space="preserve">should </w:t>
      </w:r>
      <w:r w:rsidR="00420E70">
        <w:t>bind the p</w:t>
      </w:r>
      <w:r w:rsidR="007021E8">
        <w:t xml:space="preserve">atent challenger </w:t>
      </w:r>
      <w:r w:rsidR="00420E70">
        <w:t>in any on-going or future proceedings at the PTAB.</w:t>
      </w:r>
      <w:r w:rsidR="00E42459">
        <w:t xml:space="preserve">  That said, as noted above, the patent challenger may not have chosen to litigate first in court, as opposed to the PTO</w:t>
      </w:r>
      <w:r w:rsidR="00AD277E">
        <w:t>, and given that lack of choice, it might be unfair to bind a patent challenger to the court’s decision.</w:t>
      </w:r>
    </w:p>
    <w:p w14:paraId="1F0AA136" w14:textId="2FF9535B" w:rsidR="000170E0" w:rsidRDefault="00AD277E" w:rsidP="00D22DEC">
      <w:pPr>
        <w:tabs>
          <w:tab w:val="left" w:pos="0"/>
        </w:tabs>
        <w:jc w:val="both"/>
      </w:pPr>
      <w:r>
        <w:t xml:space="preserve">Moreover, </w:t>
      </w:r>
      <w:r w:rsidR="00F83CB3">
        <w:t xml:space="preserve">it would be difficult if not impossible </w:t>
      </w:r>
      <w:r w:rsidR="00B40CA2">
        <w:t xml:space="preserve">to apply </w:t>
      </w:r>
      <w:r w:rsidR="00F83CB3">
        <w:t xml:space="preserve">any sort of </w:t>
      </w:r>
      <w:r w:rsidR="00B40CA2">
        <w:t xml:space="preserve">estoppel </w:t>
      </w:r>
      <w:r w:rsidR="00F83CB3">
        <w:t>against patent challengers who seek to institute ex parte reexamination</w:t>
      </w:r>
      <w:r w:rsidR="005432A7">
        <w:t xml:space="preserve">.  Under the Patent Act, </w:t>
      </w:r>
      <w:r w:rsidR="00F83CB3">
        <w:t xml:space="preserve">the petitioner in those proceedings has </w:t>
      </w:r>
      <w:r w:rsidR="005432A7">
        <w:t>the option</w:t>
      </w:r>
      <w:r w:rsidR="00F83CB3">
        <w:t xml:space="preserve"> to remain </w:t>
      </w:r>
      <w:r w:rsidR="00B40CA2">
        <w:t>anonymous</w:t>
      </w:r>
      <w:r w:rsidR="00F83CB3">
        <w:t>.</w:t>
      </w:r>
      <w:r w:rsidR="00F83CB3">
        <w:rPr>
          <w:rStyle w:val="FootnoteReference"/>
        </w:rPr>
        <w:footnoteReference w:id="373"/>
      </w:r>
      <w:r w:rsidR="005432A7">
        <w:t xml:space="preserve">  Although Congress could eliminate that option, anonymity serves </w:t>
      </w:r>
      <w:r w:rsidR="005432A7">
        <w:lastRenderedPageBreak/>
        <w:t>a reasonable purpose, as it allows a potential infringer to challenge a patent without making itself the target of an infringement suit.  More fundamentally, the petitioner is not technically a party to an ex parte reexamination, meaning that due process could prohibit any effort to impose estoppel.</w:t>
      </w:r>
      <w:r w:rsidR="005432A7">
        <w:rPr>
          <w:rStyle w:val="FootnoteReference"/>
        </w:rPr>
        <w:footnoteReference w:id="374"/>
      </w:r>
      <w:r w:rsidR="005432A7">
        <w:t xml:space="preserve">  Of course, Congress could always eliminate</w:t>
      </w:r>
      <w:r w:rsidR="00D22DEC">
        <w:t xml:space="preserve"> ex</w:t>
      </w:r>
      <w:r w:rsidR="005432A7">
        <w:t xml:space="preserve"> parte reexamination altogether, but that may be bad policy. </w:t>
      </w:r>
      <w:r w:rsidR="00D22DEC">
        <w:t xml:space="preserve"> </w:t>
      </w:r>
      <w:r w:rsidR="005432A7">
        <w:t>E</w:t>
      </w:r>
      <w:r w:rsidR="00D22DEC">
        <w:t xml:space="preserve">x parte reexamination, because it does not allow the challenger to participate, can be a cheaper option for </w:t>
      </w:r>
      <w:r w:rsidR="00830910">
        <w:t>those</w:t>
      </w:r>
      <w:r w:rsidR="00D22DEC">
        <w:t xml:space="preserve"> who cannot afford the adversarial proceedings created by the AIA.  </w:t>
      </w:r>
      <w:r w:rsidR="003115CF">
        <w:t xml:space="preserve">One modest change to ex parte reexamination that Congress might consider is imposing </w:t>
      </w:r>
      <w:r>
        <w:t>on defendants who are sued for infringement</w:t>
      </w:r>
      <w:r>
        <w:t xml:space="preserve"> </w:t>
      </w:r>
      <w:r w:rsidR="003115CF">
        <w:t xml:space="preserve">a time limit for </w:t>
      </w:r>
      <w:r w:rsidR="00BF6126">
        <w:t xml:space="preserve">requesting reexamination, similar to the one-year time limit imposed </w:t>
      </w:r>
      <w:r w:rsidR="00631AAD">
        <w:t>by</w:t>
      </w:r>
      <w:r w:rsidR="00BF6126">
        <w:t xml:space="preserve"> the AIA.  A time limit on requesting ex parte reexamination would restrict the </w:t>
      </w:r>
      <w:r w:rsidR="00631AAD">
        <w:t xml:space="preserve">accused infringer’s </w:t>
      </w:r>
      <w:r w:rsidR="00BF6126">
        <w:t xml:space="preserve">ability to take a wait-and-see approach to the litigation, as occurred in </w:t>
      </w:r>
      <w:r w:rsidR="00BF6126">
        <w:rPr>
          <w:i/>
        </w:rPr>
        <w:t>Fresenius</w:t>
      </w:r>
      <w:r w:rsidR="00BF6126">
        <w:t>.</w:t>
      </w:r>
      <w:r w:rsidR="003115CF">
        <w:t xml:space="preserve"> </w:t>
      </w:r>
    </w:p>
    <w:p w14:paraId="310204E2" w14:textId="79EB7C3E" w:rsidR="00F3458C" w:rsidRDefault="00631AAD" w:rsidP="001E45BD">
      <w:pPr>
        <w:tabs>
          <w:tab w:val="left" w:pos="0"/>
        </w:tabs>
        <w:jc w:val="both"/>
      </w:pPr>
      <w:r>
        <w:t>The aim of reducing conflicting court and PTO decisions also lends support to a sensible reform pending in Congress that</w:t>
      </w:r>
      <w:r w:rsidR="008E53F1">
        <w:t xml:space="preserve"> would require </w:t>
      </w:r>
      <w:r w:rsidR="00420E70">
        <w:t xml:space="preserve">the </w:t>
      </w:r>
      <w:r w:rsidR="008A737E">
        <w:t xml:space="preserve">courts and the PTO </w:t>
      </w:r>
      <w:r w:rsidR="00E61EA8">
        <w:t xml:space="preserve">to </w:t>
      </w:r>
      <w:r w:rsidR="008A737E">
        <w:t xml:space="preserve">apply the same claim construction </w:t>
      </w:r>
      <w:r w:rsidR="002F3D26">
        <w:t>standards</w:t>
      </w:r>
      <w:r w:rsidR="008A737E">
        <w:t xml:space="preserve"> </w:t>
      </w:r>
      <w:r w:rsidR="00780069">
        <w:t>when reviewing the validity of an issued patent</w:t>
      </w:r>
      <w:r w:rsidR="008A737E">
        <w:t>.</w:t>
      </w:r>
      <w:r w:rsidR="006D5B17">
        <w:t xml:space="preserve">  </w:t>
      </w:r>
      <w:r w:rsidR="002F3D26">
        <w:t>A</w:t>
      </w:r>
      <w:r w:rsidR="00C56423">
        <w:t xml:space="preserve">ligning </w:t>
      </w:r>
      <w:r w:rsidR="002F3D26">
        <w:t>those</w:t>
      </w:r>
      <w:r w:rsidR="00C56423">
        <w:t xml:space="preserve"> standards </w:t>
      </w:r>
      <w:r w:rsidR="007F5420">
        <w:t>could help</w:t>
      </w:r>
      <w:r w:rsidR="002F3D26">
        <w:t xml:space="preserve"> </w:t>
      </w:r>
      <w:r w:rsidR="00C85E5C">
        <w:t>avoid</w:t>
      </w:r>
      <w:r w:rsidR="002F3D26">
        <w:t xml:space="preserve"> conflicting rulings</w:t>
      </w:r>
      <w:r w:rsidR="008F2C94">
        <w:t xml:space="preserve"> on validity</w:t>
      </w:r>
      <w:r w:rsidR="00C85E5C">
        <w:t>,</w:t>
      </w:r>
      <w:r w:rsidR="00C85E5C">
        <w:rPr>
          <w:rStyle w:val="FootnoteReference"/>
        </w:rPr>
        <w:footnoteReference w:id="375"/>
      </w:r>
      <w:r w:rsidR="00C85E5C">
        <w:t xml:space="preserve"> although</w:t>
      </w:r>
      <w:r>
        <w:t>, because conflicting decisions are often due to differing factual records and burdens of proof,</w:t>
      </w:r>
      <w:r>
        <w:rPr>
          <w:rStyle w:val="FootnoteReference"/>
        </w:rPr>
        <w:footnoteReference w:id="376"/>
      </w:r>
      <w:r w:rsidR="00C85E5C">
        <w:t xml:space="preserve"> it would probably not eliminate them</w:t>
      </w:r>
      <w:r w:rsidR="00463608">
        <w:t>.</w:t>
      </w:r>
      <w:r w:rsidR="00830910">
        <w:t xml:space="preserve">  </w:t>
      </w:r>
    </w:p>
    <w:p w14:paraId="2E0053E3" w14:textId="241CD7D7" w:rsidR="0011791D" w:rsidRDefault="009A2235" w:rsidP="00021D92">
      <w:pPr>
        <w:pStyle w:val="ListParagraph"/>
        <w:ind w:left="0"/>
        <w:jc w:val="both"/>
      </w:pPr>
      <w:r>
        <w:t xml:space="preserve">The Federal Circuit, in a deeply divided </w:t>
      </w:r>
      <w:r w:rsidR="003007B7">
        <w:t>decision</w:t>
      </w:r>
      <w:r>
        <w:t xml:space="preserve">, recently refused to reconsider en banc </w:t>
      </w:r>
      <w:proofErr w:type="gramStart"/>
      <w:r>
        <w:t>its</w:t>
      </w:r>
      <w:proofErr w:type="gramEnd"/>
      <w:r>
        <w:t xml:space="preserve"> holding that the broadest reasonable construction standard</w:t>
      </w:r>
      <w:r w:rsidR="00830910">
        <w:t>,</w:t>
      </w:r>
      <w:r>
        <w:t xml:space="preserve"> </w:t>
      </w:r>
      <w:r w:rsidR="00830910">
        <w:t xml:space="preserve">not the narrower standard used in district court litigation, </w:t>
      </w:r>
      <w:r>
        <w:t>applies in AIA proceedings</w:t>
      </w:r>
      <w:r w:rsidR="002F3D26">
        <w:t>.</w:t>
      </w:r>
      <w:r>
        <w:rPr>
          <w:rStyle w:val="FootnoteReference"/>
        </w:rPr>
        <w:footnoteReference w:id="377"/>
      </w:r>
      <w:r>
        <w:t xml:space="preserve">  But b</w:t>
      </w:r>
      <w:r w:rsidR="00556629">
        <w:t xml:space="preserve">oth the House and the Senate are considering bills that would </w:t>
      </w:r>
      <w:r>
        <w:t xml:space="preserve">overturn that holding and </w:t>
      </w:r>
      <w:r w:rsidR="00556629">
        <w:t>instead require the PTAB to construe claims in the same manner as district courts.</w:t>
      </w:r>
      <w:r w:rsidR="00556629">
        <w:rPr>
          <w:rStyle w:val="FootnoteReference"/>
        </w:rPr>
        <w:footnoteReference w:id="378"/>
      </w:r>
      <w:r w:rsidR="006A0472">
        <w:t xml:space="preserve">  </w:t>
      </w:r>
      <w:r w:rsidR="00CA2575">
        <w:t>A</w:t>
      </w:r>
      <w:r w:rsidR="009C7FCA">
        <w:t>pplying the same standard would be consistent with Congress’s oft-stated belief that post-issuance review</w:t>
      </w:r>
      <w:r w:rsidR="00E31205">
        <w:t xml:space="preserve"> proceedings, and in particular the new proceedings created by the AIA, are </w:t>
      </w:r>
      <w:r w:rsidR="009C7FCA">
        <w:t>substitute</w:t>
      </w:r>
      <w:r w:rsidR="00E31205">
        <w:t>s</w:t>
      </w:r>
      <w:r w:rsidR="009C7FCA">
        <w:t xml:space="preserve"> for district court litigation over patent validity.</w:t>
      </w:r>
      <w:r w:rsidR="009C7FCA">
        <w:rPr>
          <w:rStyle w:val="FootnoteReference"/>
        </w:rPr>
        <w:footnoteReference w:id="379"/>
      </w:r>
      <w:r w:rsidR="00CA2575">
        <w:t xml:space="preserve">  It would also better account for the difficulty of amending patent claims during AIA proceedings.</w:t>
      </w:r>
      <w:r w:rsidR="00CA2575">
        <w:rPr>
          <w:rStyle w:val="FootnoteReference"/>
        </w:rPr>
        <w:footnoteReference w:id="380"/>
      </w:r>
      <w:r w:rsidR="009C7FCA">
        <w:t xml:space="preserve"> </w:t>
      </w:r>
      <w:r w:rsidR="00556629">
        <w:t xml:space="preserve"> </w:t>
      </w:r>
    </w:p>
    <w:p w14:paraId="306C778B" w14:textId="6DD94004" w:rsidR="003F3D76" w:rsidRDefault="008F2C94" w:rsidP="00677247">
      <w:pPr>
        <w:pStyle w:val="ListParagraph"/>
        <w:ind w:left="0"/>
        <w:jc w:val="both"/>
      </w:pPr>
      <w:r>
        <w:lastRenderedPageBreak/>
        <w:t>Congress could</w:t>
      </w:r>
      <w:r w:rsidR="00631AAD">
        <w:t xml:space="preserve"> also</w:t>
      </w:r>
      <w:r>
        <w:t xml:space="preserve"> increase consistency between district court litigation and post-issuance review at the PTO by requiring both tribunals to apply the same burden of proof on the question of patent validity.  For instance, one proposal pending in Congress would require the PTO to apply the clear and convincing evidence standard that applies in court litigation over validity.</w:t>
      </w:r>
      <w:r>
        <w:rPr>
          <w:rStyle w:val="FootnoteReference"/>
        </w:rPr>
        <w:footnoteReference w:id="381"/>
      </w:r>
      <w:r w:rsidR="00E31205">
        <w:t xml:space="preserve">  </w:t>
      </w:r>
      <w:r w:rsidR="00631AAD">
        <w:t>That</w:t>
      </w:r>
      <w:r w:rsidR="004108CA">
        <w:t xml:space="preserve"> proposal</w:t>
      </w:r>
      <w:r w:rsidR="00631AAD">
        <w:t>, however,</w:t>
      </w:r>
      <w:r w:rsidR="00E31205">
        <w:t xml:space="preserve"> is harder to justify as a matter of institutional design.  The clear and convincing standard that applies in litigation, is effectively a form of judicial deference to agency </w:t>
      </w:r>
      <w:proofErr w:type="spellStart"/>
      <w:r w:rsidR="00E31205">
        <w:t>decisionmaking</w:t>
      </w:r>
      <w:proofErr w:type="spellEnd"/>
      <w:r w:rsidR="00E31205">
        <w:t>.</w:t>
      </w:r>
      <w:r w:rsidR="00E31205">
        <w:rPr>
          <w:rStyle w:val="FootnoteReference"/>
        </w:rPr>
        <w:footnoteReference w:id="382"/>
      </w:r>
      <w:r w:rsidR="00646D94">
        <w:t xml:space="preserve">  But it makes little sense to say that a three-judge panel of the PTAB conducting </w:t>
      </w:r>
      <w:r w:rsidR="007B5F42">
        <w:t xml:space="preserve">inter </w:t>
      </w:r>
      <w:proofErr w:type="spellStart"/>
      <w:r w:rsidR="007B5F42">
        <w:t>partes</w:t>
      </w:r>
      <w:proofErr w:type="spellEnd"/>
      <w:r w:rsidR="00646D94">
        <w:t xml:space="preserve"> review should defer to a prior decision by a single examiner to issue the patent.</w:t>
      </w:r>
      <w:r w:rsidR="000963FD">
        <w:rPr>
          <w:rStyle w:val="FootnoteReference"/>
        </w:rPr>
        <w:footnoteReference w:id="383"/>
      </w:r>
      <w:r w:rsidR="00646D94">
        <w:t xml:space="preserve">  </w:t>
      </w:r>
    </w:p>
    <w:p w14:paraId="7AC25262" w14:textId="5B8E69B0" w:rsidR="00301C83" w:rsidRDefault="00646D94" w:rsidP="00677247">
      <w:pPr>
        <w:pStyle w:val="ListParagraph"/>
        <w:ind w:left="0"/>
        <w:jc w:val="both"/>
      </w:pPr>
      <w:r>
        <w:t>Another option for aligning the burdens of proof would be to eliminate the pre</w:t>
      </w:r>
      <w:r w:rsidR="000963FD">
        <w:t>sumption of validity altogether</w:t>
      </w:r>
      <w:r>
        <w:t xml:space="preserve"> and have both the courts and the PTO apply a preponderance standard.  </w:t>
      </w:r>
      <w:r w:rsidR="00234D43">
        <w:t>But</w:t>
      </w:r>
      <w:r w:rsidR="00AD277E">
        <w:t xml:space="preserve"> </w:t>
      </w:r>
      <w:r w:rsidR="00234D43">
        <w:t>it may be too drastic to lower the burden of proof in all patent cases</w:t>
      </w:r>
      <w:r w:rsidR="00506CFA">
        <w:t xml:space="preserve"> merely</w:t>
      </w:r>
      <w:r w:rsidR="00234D43">
        <w:t xml:space="preserve"> to solve </w:t>
      </w:r>
      <w:r w:rsidR="007B5F42">
        <w:t>the episodic</w:t>
      </w:r>
      <w:r w:rsidR="004108CA">
        <w:t xml:space="preserve"> problem </w:t>
      </w:r>
      <w:r w:rsidR="00011DCD">
        <w:t xml:space="preserve">of </w:t>
      </w:r>
      <w:r w:rsidR="00234D43">
        <w:t>conflicting co</w:t>
      </w:r>
      <w:r w:rsidR="004108CA">
        <w:t>urt and PTO rulings on validity</w:t>
      </w:r>
      <w:r w:rsidR="00234D43">
        <w:t>.  A</w:t>
      </w:r>
      <w:r w:rsidR="004108CA">
        <w:t xml:space="preserve"> thorough analysis of any proposal to eliminate the presumption of validity would also need to engage broad </w:t>
      </w:r>
      <w:r w:rsidR="00234D43">
        <w:t xml:space="preserve">considerations about the state of the patent system that are beyond this article’s scope.  For instance, if it is true that the </w:t>
      </w:r>
      <w:r w:rsidR="003F3D76">
        <w:t xml:space="preserve">PTO issues too many </w:t>
      </w:r>
      <w:r w:rsidR="007B5F42">
        <w:t xml:space="preserve">bad </w:t>
      </w:r>
      <w:r w:rsidR="003F3D76">
        <w:t>patents</w:t>
      </w:r>
      <w:r w:rsidR="00234D43">
        <w:t xml:space="preserve">, then the clear and convincing evidence standard may </w:t>
      </w:r>
      <w:r w:rsidR="007B5F42">
        <w:t xml:space="preserve">unduly </w:t>
      </w:r>
      <w:r w:rsidR="00234D43">
        <w:t xml:space="preserve">insulate </w:t>
      </w:r>
      <w:r w:rsidR="007B5F42">
        <w:t>those</w:t>
      </w:r>
      <w:r w:rsidR="00234D43">
        <w:t xml:space="preserve"> patents from invalidity challenges</w:t>
      </w:r>
      <w:r w:rsidR="007B5F42">
        <w:t>,</w:t>
      </w:r>
      <w:r w:rsidR="000963FD">
        <w:t xml:space="preserve"> and there is a strong argument for repealing it</w:t>
      </w:r>
      <w:r w:rsidR="00234D43">
        <w:t>.</w:t>
      </w:r>
      <w:r w:rsidR="00234D43">
        <w:rPr>
          <w:rStyle w:val="FootnoteReference"/>
        </w:rPr>
        <w:footnoteReference w:id="384"/>
      </w:r>
      <w:r w:rsidR="00315C2C">
        <w:t xml:space="preserve">  Indeed, the decision to issue a patent, made by a single examiner with limit</w:t>
      </w:r>
      <w:r w:rsidR="00631AAD">
        <w:t>ed time to allocate to the task</w:t>
      </w:r>
      <w:r w:rsidR="00315C2C">
        <w:rPr>
          <w:rStyle w:val="FootnoteReference"/>
        </w:rPr>
        <w:footnoteReference w:id="385"/>
      </w:r>
      <w:r w:rsidR="00315C2C">
        <w:t xml:space="preserve"> may not be the type of reasoned </w:t>
      </w:r>
      <w:proofErr w:type="spellStart"/>
      <w:r w:rsidR="00315C2C">
        <w:t>decisionmaking</w:t>
      </w:r>
      <w:proofErr w:type="spellEnd"/>
      <w:r w:rsidR="00315C2C">
        <w:t xml:space="preserve"> to which court deference is appropriate.</w:t>
      </w:r>
      <w:r w:rsidR="00315C2C">
        <w:rPr>
          <w:rStyle w:val="FootnoteReference"/>
        </w:rPr>
        <w:footnoteReference w:id="386"/>
      </w:r>
      <w:r w:rsidR="004108CA">
        <w:t xml:space="preserve">  </w:t>
      </w:r>
      <w:r w:rsidR="00234D43">
        <w:t xml:space="preserve">By contrast, if one is skeptical about the ability of a jury to better evaluate patent validity than the supposedly expert examiners at the PTO, then the </w:t>
      </w:r>
      <w:r w:rsidR="00234D43">
        <w:lastRenderedPageBreak/>
        <w:t>clear and convincing standard probably makes sense,</w:t>
      </w:r>
      <w:r w:rsidR="003A4537">
        <w:rPr>
          <w:rStyle w:val="FootnoteReference"/>
        </w:rPr>
        <w:footnoteReference w:id="387"/>
      </w:r>
      <w:r w:rsidR="00234D43">
        <w:t xml:space="preserve"> even if it </w:t>
      </w:r>
      <w:r w:rsidR="003A4537">
        <w:t>facilitates</w:t>
      </w:r>
      <w:r w:rsidR="00234D43">
        <w:t xml:space="preserve"> occasional conflict</w:t>
      </w:r>
      <w:r w:rsidR="000963FD">
        <w:t>s</w:t>
      </w:r>
      <w:r w:rsidR="00234D43">
        <w:t xml:space="preserve"> between the courts and the PTO.    </w:t>
      </w:r>
      <w:r w:rsidR="003F3D76">
        <w:t xml:space="preserve"> </w:t>
      </w:r>
      <w:r w:rsidR="008F2C94">
        <w:t xml:space="preserve"> </w:t>
      </w:r>
    </w:p>
    <w:p w14:paraId="7B9C11A5" w14:textId="77777777" w:rsidR="00A05B95" w:rsidRPr="009039D5" w:rsidRDefault="00A05B95" w:rsidP="00A05B95">
      <w:pPr>
        <w:pStyle w:val="ListParagraph"/>
        <w:keepNext/>
        <w:ind w:left="0" w:firstLine="0"/>
        <w:jc w:val="center"/>
        <w:rPr>
          <w:smallCaps/>
        </w:rPr>
      </w:pPr>
      <w:r w:rsidRPr="009039D5">
        <w:rPr>
          <w:smallCaps/>
        </w:rPr>
        <w:t>Conclusion</w:t>
      </w:r>
    </w:p>
    <w:p w14:paraId="523A24E5" w14:textId="2D6C0DF7" w:rsidR="0007599A" w:rsidRDefault="00677247" w:rsidP="00903708">
      <w:pPr>
        <w:tabs>
          <w:tab w:val="left" w:pos="0"/>
        </w:tabs>
        <w:jc w:val="both"/>
      </w:pPr>
      <w:r>
        <w:t>As long as both the courts and the PTO are allowed to decide the validity of the same patent, inconsistent decisions will occur</w:t>
      </w:r>
      <w:r w:rsidR="005729B1">
        <w:t xml:space="preserve"> and the problem of Schrödinger patents—patents that </w:t>
      </w:r>
      <w:r w:rsidR="001C0737">
        <w:t>appear to be</w:t>
      </w:r>
      <w:r w:rsidR="005729B1">
        <w:t xml:space="preserve"> both valid and invalid—will persist</w:t>
      </w:r>
      <w:r>
        <w:t>.</w:t>
      </w:r>
      <w:r w:rsidR="0007599A">
        <w:t xml:space="preserve">  Both the Federal Circuit and Congress have, to date, mostly ignored this reality.  T</w:t>
      </w:r>
      <w:r>
        <w:t xml:space="preserve">he Federal Circuit has </w:t>
      </w:r>
      <w:r w:rsidR="0007599A">
        <w:t>adopted</w:t>
      </w:r>
      <w:r>
        <w:t xml:space="preserve"> a bright-line</w:t>
      </w:r>
      <w:r w:rsidR="0007599A">
        <w:t>, absolute finality</w:t>
      </w:r>
      <w:r>
        <w:t xml:space="preserve"> rule</w:t>
      </w:r>
      <w:r w:rsidR="0007599A">
        <w:t xml:space="preserve"> </w:t>
      </w:r>
      <w:r w:rsidR="008A55DA">
        <w:t>that</w:t>
      </w:r>
      <w:r w:rsidR="0007599A">
        <w:t xml:space="preserve"> </w:t>
      </w:r>
      <w:r w:rsidR="005D1418">
        <w:t>disregards</w:t>
      </w:r>
      <w:r w:rsidR="0007599A">
        <w:t xml:space="preserve"> the difficult practical and policy questions that conflicting decisions implicate.  Congress, for its part, has consistently expanded</w:t>
      </w:r>
      <w:r>
        <w:t xml:space="preserve"> post-issuanc</w:t>
      </w:r>
      <w:r w:rsidR="00EF2B8A">
        <w:t>e review at the PTO by</w:t>
      </w:r>
      <w:r>
        <w:t xml:space="preserve"> emphasizing</w:t>
      </w:r>
      <w:r w:rsidR="00903708">
        <w:t xml:space="preserve"> the speed and </w:t>
      </w:r>
      <w:r w:rsidR="00234CA0">
        <w:t>efficiency</w:t>
      </w:r>
      <w:r w:rsidR="00903708">
        <w:t xml:space="preserve"> of administrative adjudication</w:t>
      </w:r>
      <w:r w:rsidR="00C56423">
        <w:rPr>
          <w:rStyle w:val="FootnoteReference"/>
        </w:rPr>
        <w:footnoteReference w:id="388"/>
      </w:r>
      <w:r w:rsidR="00903708">
        <w:t xml:space="preserve"> while ignoring the costs </w:t>
      </w:r>
      <w:r w:rsidR="00E61EA8">
        <w:t>of</w:t>
      </w:r>
      <w:r w:rsidR="00903708">
        <w:t xml:space="preserve"> having two different forums </w:t>
      </w:r>
      <w:r w:rsidR="00234CA0">
        <w:t xml:space="preserve">review </w:t>
      </w:r>
      <w:r w:rsidR="002F3D26">
        <w:t>the</w:t>
      </w:r>
      <w:r w:rsidR="00903708">
        <w:t xml:space="preserve"> validity</w:t>
      </w:r>
      <w:r w:rsidR="002F3D26">
        <w:t xml:space="preserve"> of a single patent</w:t>
      </w:r>
      <w:r w:rsidR="00903708">
        <w:t>.</w:t>
      </w:r>
      <w:r>
        <w:t xml:space="preserve">  </w:t>
      </w:r>
    </w:p>
    <w:p w14:paraId="7C495D60" w14:textId="12B25421" w:rsidR="00903708" w:rsidRDefault="0007599A" w:rsidP="00903708">
      <w:pPr>
        <w:tabs>
          <w:tab w:val="left" w:pos="0"/>
        </w:tabs>
        <w:jc w:val="both"/>
      </w:pPr>
      <w:r>
        <w:t>Because Congress has the ultimate authority to create and abolish the</w:t>
      </w:r>
      <w:r w:rsidR="00E61EA8">
        <w:t>se</w:t>
      </w:r>
      <w:r>
        <w:t xml:space="preserve"> parallel regimes, the courts can only adapt.  Under current law, the </w:t>
      </w:r>
      <w:r w:rsidR="003007B7">
        <w:t>most effective</w:t>
      </w:r>
      <w:r>
        <w:t xml:space="preserve"> way for courts to avoid conflict with the PTO is to stay litigation</w:t>
      </w:r>
      <w:r w:rsidR="003007B7">
        <w:t xml:space="preserve">, although that is not </w:t>
      </w:r>
      <w:r w:rsidR="000963FD">
        <w:t>the</w:t>
      </w:r>
      <w:r w:rsidR="003007B7">
        <w:t xml:space="preserve"> optimal solution in </w:t>
      </w:r>
      <w:r w:rsidR="000963FD">
        <w:t>every case</w:t>
      </w:r>
      <w:r>
        <w:t xml:space="preserve">.  </w:t>
      </w:r>
      <w:r w:rsidR="00677247">
        <w:t>As Congress considers further changes to the law of patent enforcement, the issue of how to better coordinate patent validity disputes should be a central concern</w:t>
      </w:r>
      <w:r w:rsidR="00C85E5C">
        <w:t>.</w:t>
      </w:r>
      <w:r w:rsidR="00A07A77">
        <w:t xml:space="preserve"> </w:t>
      </w:r>
    </w:p>
    <w:sectPr w:rsidR="00903708" w:rsidSect="005912BC">
      <w:headerReference w:type="even" r:id="rId8"/>
      <w:headerReference w:type="default" r:id="rId9"/>
      <w:footerReference w:type="even" r:id="rId10"/>
      <w:footerReference w:type="default" r:id="rId11"/>
      <w:headerReference w:type="first" r:id="rId12"/>
      <w:footerReference w:type="first" r:id="rId13"/>
      <w:pgSz w:w="12240" w:h="15840"/>
      <w:pgMar w:top="1800" w:right="2160" w:bottom="180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F31E" w14:textId="77777777" w:rsidR="0012014D" w:rsidRDefault="0012014D" w:rsidP="002A708A">
      <w:pPr>
        <w:spacing w:after="0"/>
      </w:pPr>
      <w:r>
        <w:separator/>
      </w:r>
    </w:p>
  </w:endnote>
  <w:endnote w:type="continuationSeparator" w:id="0">
    <w:p w14:paraId="467045C4" w14:textId="77777777" w:rsidR="0012014D" w:rsidRDefault="0012014D" w:rsidP="002A7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25C57" w14:textId="77777777" w:rsidR="0012014D" w:rsidRDefault="00120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D8548" w14:textId="77777777" w:rsidR="0012014D" w:rsidRDefault="00120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351B" w14:textId="77777777" w:rsidR="0012014D" w:rsidRDefault="00120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1DE47" w14:textId="77777777" w:rsidR="0012014D" w:rsidRDefault="0012014D" w:rsidP="002A708A">
      <w:pPr>
        <w:spacing w:after="0"/>
      </w:pPr>
      <w:r>
        <w:separator/>
      </w:r>
    </w:p>
  </w:footnote>
  <w:footnote w:type="continuationSeparator" w:id="0">
    <w:p w14:paraId="059C4B0F" w14:textId="77777777" w:rsidR="0012014D" w:rsidRDefault="0012014D" w:rsidP="002A708A">
      <w:pPr>
        <w:spacing w:after="0"/>
      </w:pPr>
      <w:r>
        <w:continuationSeparator/>
      </w:r>
    </w:p>
  </w:footnote>
  <w:footnote w:id="1">
    <w:p w14:paraId="13ED9DEF" w14:textId="5633F03B" w:rsidR="0012014D" w:rsidRDefault="0012014D" w:rsidP="00EE1DDB">
      <w:pPr>
        <w:pStyle w:val="FootnoteText"/>
        <w:widowControl w:val="0"/>
      </w:pPr>
      <w:r>
        <w:rPr>
          <w:rStyle w:val="FootnoteReference"/>
        </w:rPr>
        <w:t>*</w:t>
      </w:r>
      <w:r>
        <w:t xml:space="preserve"> Associate Professor, Boston University School of Law.  For comments and helpful discussions, thanks to Jonas Anderson, Jack Beermann, Daniela Caruso, Kris Collins, Stacey Dogan, Alan Feld, Wendy Gordon, Mike Harper, Keith Hylton, Rebecca Ingber, </w:t>
      </w:r>
      <w:proofErr w:type="spellStart"/>
      <w:r>
        <w:t>Sapna</w:t>
      </w:r>
      <w:proofErr w:type="spellEnd"/>
      <w:r>
        <w:t xml:space="preserve"> Kumar, Gary Lawson, Mark </w:t>
      </w:r>
      <w:proofErr w:type="spellStart"/>
      <w:r>
        <w:t>Lemley</w:t>
      </w:r>
      <w:proofErr w:type="spellEnd"/>
      <w:r>
        <w:t xml:space="preserve">, Brian Love, Mike Meurer, Lisa Ouellette, Kevin Outterson, Rachel </w:t>
      </w:r>
      <w:proofErr w:type="spellStart"/>
      <w:r>
        <w:t>Rebouch</w:t>
      </w:r>
      <w:r w:rsidRPr="00DC6A94">
        <w:rPr>
          <w:rFonts w:cs="Times New Roman"/>
          <w:color w:val="000000"/>
        </w:rPr>
        <w:t>é</w:t>
      </w:r>
      <w:proofErr w:type="spellEnd"/>
      <w:r>
        <w:rPr>
          <w:rFonts w:cs="Times New Roman"/>
          <w:color w:val="000000"/>
        </w:rPr>
        <w:t>, Greg Reilly, Laura Sheridan, Jake Sherkow, Melissa Wasserman, and Kathy Zeiler</w:t>
      </w:r>
      <w:r>
        <w:t>.  Thanks also to participants at the Patent Conference at the University of Kansas School of Law, the Oklahoma Junior Scholars Conference at the University of Oklahoma College of Law, the Intellectual Property Scholars Conference at DePaul University College of Law, a conference on the PTO and the Courts at Stanford Law School, and a faculty workshop at Boston University School of Law.</w:t>
      </w:r>
    </w:p>
  </w:footnote>
  <w:footnote w:id="2">
    <w:p w14:paraId="7129DA89" w14:textId="77777777" w:rsidR="0012014D" w:rsidRDefault="0012014D" w:rsidP="00FF51B0">
      <w:pPr>
        <w:pStyle w:val="FootnoteText"/>
      </w:pPr>
      <w:r>
        <w:rPr>
          <w:rStyle w:val="FootnoteReference"/>
        </w:rPr>
        <w:footnoteRef/>
      </w:r>
      <w:r>
        <w:t xml:space="preserve"> </w:t>
      </w:r>
      <w:r>
        <w:rPr>
          <w:i/>
        </w:rPr>
        <w:t xml:space="preserve">See </w:t>
      </w:r>
      <w:r>
        <w:t xml:space="preserve">Erwin Schrödinger, </w:t>
      </w:r>
      <w:r>
        <w:rPr>
          <w:i/>
        </w:rPr>
        <w:t>Die</w:t>
      </w:r>
      <w:r>
        <w:t xml:space="preserve"> </w:t>
      </w:r>
      <w:proofErr w:type="spellStart"/>
      <w:r w:rsidRPr="00D17C69">
        <w:rPr>
          <w:i/>
        </w:rPr>
        <w:t>Gegenw</w:t>
      </w:r>
      <w:r w:rsidRPr="00D17C69">
        <w:rPr>
          <w:rFonts w:cs="Times New Roman"/>
          <w:i/>
        </w:rPr>
        <w:t>ä</w:t>
      </w:r>
      <w:r w:rsidRPr="00D17C69">
        <w:rPr>
          <w:i/>
        </w:rPr>
        <w:t>rtige</w:t>
      </w:r>
      <w:proofErr w:type="spellEnd"/>
      <w:r w:rsidRPr="00D17C69">
        <w:rPr>
          <w:i/>
        </w:rPr>
        <w:t xml:space="preserve"> Situation in der </w:t>
      </w:r>
      <w:proofErr w:type="spellStart"/>
      <w:r w:rsidRPr="00D17C69">
        <w:rPr>
          <w:i/>
        </w:rPr>
        <w:t>Quantenmechanik</w:t>
      </w:r>
      <w:proofErr w:type="spellEnd"/>
      <w:r>
        <w:t xml:space="preserve">, 23 </w:t>
      </w:r>
      <w:proofErr w:type="spellStart"/>
      <w:r w:rsidRPr="00DF27F4">
        <w:rPr>
          <w:smallCaps/>
        </w:rPr>
        <w:t>Naturwissenschaften</w:t>
      </w:r>
      <w:proofErr w:type="spellEnd"/>
      <w:r>
        <w:t xml:space="preserve"> 807 (1935), </w:t>
      </w:r>
      <w:r w:rsidRPr="00DF27F4">
        <w:rPr>
          <w:i/>
        </w:rPr>
        <w:t>translated in</w:t>
      </w:r>
      <w:r>
        <w:t xml:space="preserve"> 124 </w:t>
      </w:r>
      <w:r w:rsidRPr="00DF27F4">
        <w:rPr>
          <w:smallCaps/>
        </w:rPr>
        <w:t>Proceedings of the Am</w:t>
      </w:r>
      <w:r>
        <w:rPr>
          <w:smallCaps/>
        </w:rPr>
        <w:t>.</w:t>
      </w:r>
      <w:r w:rsidRPr="00DF27F4">
        <w:rPr>
          <w:smallCaps/>
        </w:rPr>
        <w:t xml:space="preserve"> Phil</w:t>
      </w:r>
      <w:r>
        <w:rPr>
          <w:smallCaps/>
        </w:rPr>
        <w:t>.</w:t>
      </w:r>
      <w:r w:rsidRPr="00DF27F4">
        <w:rPr>
          <w:smallCaps/>
        </w:rPr>
        <w:t xml:space="preserve"> </w:t>
      </w:r>
      <w:proofErr w:type="spellStart"/>
      <w:r w:rsidRPr="00DF27F4">
        <w:rPr>
          <w:smallCaps/>
        </w:rPr>
        <w:t>Soc’y</w:t>
      </w:r>
      <w:proofErr w:type="spellEnd"/>
      <w:r>
        <w:t xml:space="preserve"> 323 (1980) (John D. Trimmer trans.).</w:t>
      </w:r>
    </w:p>
  </w:footnote>
  <w:footnote w:id="3">
    <w:p w14:paraId="13522146" w14:textId="5EE26319" w:rsidR="0012014D" w:rsidRDefault="0012014D">
      <w:pPr>
        <w:pStyle w:val="FootnoteText"/>
      </w:pPr>
      <w:r>
        <w:rPr>
          <w:rStyle w:val="FootnoteReference"/>
        </w:rPr>
        <w:footnoteRef/>
      </w:r>
      <w:r>
        <w:t xml:space="preserve"> In recent years, many scholars have questioned whether the PTO has adequately enforced those requirements.  </w:t>
      </w:r>
      <w:r>
        <w:rPr>
          <w:i/>
        </w:rPr>
        <w:t>See, e.g.</w:t>
      </w:r>
      <w:r>
        <w:t xml:space="preserve">, </w:t>
      </w:r>
      <w:r w:rsidRPr="00346AA1">
        <w:rPr>
          <w:smallCaps/>
        </w:rPr>
        <w:t xml:space="preserve">James </w:t>
      </w:r>
      <w:proofErr w:type="spellStart"/>
      <w:r w:rsidRPr="00346AA1">
        <w:rPr>
          <w:smallCaps/>
        </w:rPr>
        <w:t>Bessen</w:t>
      </w:r>
      <w:proofErr w:type="spellEnd"/>
      <w:r w:rsidRPr="00346AA1">
        <w:rPr>
          <w:smallCaps/>
        </w:rPr>
        <w:t xml:space="preserve"> &amp; Mich</w:t>
      </w:r>
      <w:r>
        <w:rPr>
          <w:smallCaps/>
        </w:rPr>
        <w:t xml:space="preserve">ael J. Meurer, Patent Failure:  </w:t>
      </w:r>
      <w:r w:rsidRPr="00346AA1">
        <w:rPr>
          <w:smallCaps/>
        </w:rPr>
        <w:t>How Judges, Bureaucr</w:t>
      </w:r>
      <w:r>
        <w:rPr>
          <w:smallCaps/>
        </w:rPr>
        <w:t xml:space="preserve">ats, and Lawyers Put Innovators </w:t>
      </w:r>
      <w:r w:rsidRPr="00346AA1">
        <w:rPr>
          <w:smallCaps/>
        </w:rPr>
        <w:t>at Risk</w:t>
      </w:r>
      <w:r>
        <w:rPr>
          <w:smallCaps/>
        </w:rPr>
        <w:t xml:space="preserve"> </w:t>
      </w:r>
      <w:r>
        <w:t xml:space="preserve">161-63 (2008); Michael D. </w:t>
      </w:r>
      <w:proofErr w:type="spellStart"/>
      <w:r>
        <w:t>Frakes</w:t>
      </w:r>
      <w:proofErr w:type="spellEnd"/>
      <w:r>
        <w:t xml:space="preserve"> &amp; Melissa F. Wasserman, </w:t>
      </w:r>
      <w:r w:rsidRPr="001E2AA7">
        <w:rPr>
          <w:i/>
        </w:rPr>
        <w:t>Does the U.S. Patent and Trademark Of</w:t>
      </w:r>
      <w:r>
        <w:rPr>
          <w:i/>
        </w:rPr>
        <w:t xml:space="preserve">fice Grant Too Many Bad Patents?: </w:t>
      </w:r>
      <w:r w:rsidRPr="001E2AA7">
        <w:rPr>
          <w:i/>
        </w:rPr>
        <w:t xml:space="preserve"> Evidence from a Quasi-Experiment</w:t>
      </w:r>
      <w:r>
        <w:t xml:space="preserve">, 67 </w:t>
      </w:r>
      <w:r w:rsidRPr="001E2AA7">
        <w:rPr>
          <w:smallCaps/>
        </w:rPr>
        <w:t>Stan. L. Rev.</w:t>
      </w:r>
      <w:r>
        <w:t xml:space="preserve"> 613,</w:t>
      </w:r>
      <w:r w:rsidRPr="001E2AA7">
        <w:t xml:space="preserve"> </w:t>
      </w:r>
      <w:r>
        <w:t>615-17 (2015).</w:t>
      </w:r>
    </w:p>
  </w:footnote>
  <w:footnote w:id="4">
    <w:p w14:paraId="3B3DB0C9" w14:textId="3A2B3C17" w:rsidR="0012014D" w:rsidRPr="002C75D0" w:rsidRDefault="0012014D">
      <w:pPr>
        <w:pStyle w:val="FootnoteText"/>
        <w:rPr>
          <w:i/>
        </w:rPr>
      </w:pPr>
      <w:r>
        <w:rPr>
          <w:rStyle w:val="FootnoteReference"/>
        </w:rPr>
        <w:footnoteRef/>
      </w:r>
      <w:r>
        <w:t xml:space="preserve"> John R. Allison, Mark A. </w:t>
      </w:r>
      <w:proofErr w:type="spellStart"/>
      <w:r>
        <w:t>Lemley</w:t>
      </w:r>
      <w:proofErr w:type="spellEnd"/>
      <w:r>
        <w:t xml:space="preserve"> &amp; David L. Schwartz, </w:t>
      </w:r>
      <w:r w:rsidRPr="0076682A">
        <w:rPr>
          <w:i/>
        </w:rPr>
        <w:t>Our Divided Patent System</w:t>
      </w:r>
      <w:r>
        <w:t xml:space="preserve">, 82 </w:t>
      </w:r>
      <w:r w:rsidRPr="0076682A">
        <w:rPr>
          <w:smallCaps/>
        </w:rPr>
        <w:t>U. Chi. L. Rev.</w:t>
      </w:r>
      <w:r>
        <w:rPr>
          <w:smallCaps/>
        </w:rPr>
        <w:t xml:space="preserve"> 1073, 1100</w:t>
      </w:r>
      <w:r w:rsidRPr="0076682A">
        <w:rPr>
          <w:smallCaps/>
        </w:rPr>
        <w:t xml:space="preserve"> </w:t>
      </w:r>
      <w:r>
        <w:t xml:space="preserve">(2015) (reporting an invalidity rate of 42.6% in cases filed in 2008 and 2009).  On the indeterminate nature of patent rights, see generally Mark A. </w:t>
      </w:r>
      <w:proofErr w:type="spellStart"/>
      <w:r>
        <w:t>Lemley</w:t>
      </w:r>
      <w:proofErr w:type="spellEnd"/>
      <w:r>
        <w:t xml:space="preserve"> &amp; Carl Shapiro, </w:t>
      </w:r>
      <w:r w:rsidRPr="00A94D2D">
        <w:rPr>
          <w:i/>
        </w:rPr>
        <w:t>Probabilistic Patents</w:t>
      </w:r>
      <w:r>
        <w:t xml:space="preserve">, 19 </w:t>
      </w:r>
      <w:r w:rsidRPr="00A94D2D">
        <w:rPr>
          <w:smallCaps/>
        </w:rPr>
        <w:t xml:space="preserve">J. Econ. </w:t>
      </w:r>
      <w:proofErr w:type="spellStart"/>
      <w:r w:rsidRPr="00A94D2D">
        <w:rPr>
          <w:smallCaps/>
        </w:rPr>
        <w:t>Persp</w:t>
      </w:r>
      <w:proofErr w:type="spellEnd"/>
      <w:r w:rsidRPr="00A94D2D">
        <w:rPr>
          <w:smallCaps/>
        </w:rPr>
        <w:t>.</w:t>
      </w:r>
      <w:r>
        <w:t xml:space="preserve"> 75, 75 (2005) (“[A] patent does not confer upon its owner the right to exclude but rather a right to </w:t>
      </w:r>
      <w:r w:rsidRPr="005D1897">
        <w:rPr>
          <w:i/>
        </w:rPr>
        <w:t>try</w:t>
      </w:r>
      <w:r>
        <w:t xml:space="preserve"> to exclude by asserting the patent in court.”).</w:t>
      </w:r>
    </w:p>
  </w:footnote>
  <w:footnote w:id="5">
    <w:p w14:paraId="5FD0362C" w14:textId="63BA46B3" w:rsidR="0012014D" w:rsidRDefault="0012014D" w:rsidP="001C3A0F">
      <w:pPr>
        <w:pStyle w:val="FootnoteText"/>
      </w:pPr>
      <w:r>
        <w:rPr>
          <w:rStyle w:val="FootnoteReference"/>
        </w:rPr>
        <w:footnoteRef/>
      </w:r>
      <w:r>
        <w:t xml:space="preserve"> Blonder-Tongue </w:t>
      </w:r>
      <w:proofErr w:type="gramStart"/>
      <w:r>
        <w:t>Labs.,</w:t>
      </w:r>
      <w:proofErr w:type="gramEnd"/>
      <w:r>
        <w:t xml:space="preserve"> Inc. v. Univ. of Ill. Found., 402 U.S. 313, 350 (1971).</w:t>
      </w:r>
    </w:p>
  </w:footnote>
  <w:footnote w:id="6">
    <w:p w14:paraId="0F2EBB98" w14:textId="77777777" w:rsidR="0012014D" w:rsidRPr="00EF6E5A" w:rsidRDefault="0012014D" w:rsidP="00235060">
      <w:pPr>
        <w:pStyle w:val="FootnoteText"/>
      </w:pPr>
      <w:r>
        <w:rPr>
          <w:rStyle w:val="FootnoteReference"/>
        </w:rPr>
        <w:footnoteRef/>
      </w:r>
      <w:r>
        <w:t xml:space="preserve"> </w:t>
      </w:r>
      <w:r w:rsidRPr="00AD0360">
        <w:t>America Invents Ac</w:t>
      </w:r>
      <w:r>
        <w:t xml:space="preserve">t, Pub. L. No. 112-29, 125 Stat. 284 </w:t>
      </w:r>
      <w:r w:rsidRPr="00AD0360">
        <w:t>(2011)</w:t>
      </w:r>
      <w:r>
        <w:t>.</w:t>
      </w:r>
    </w:p>
  </w:footnote>
  <w:footnote w:id="7">
    <w:p w14:paraId="537C91B1" w14:textId="2175F932" w:rsidR="0012014D" w:rsidRDefault="0012014D" w:rsidP="00FE5DB1">
      <w:pPr>
        <w:pStyle w:val="FootnoteText"/>
      </w:pPr>
      <w:r>
        <w:rPr>
          <w:rStyle w:val="FootnoteReference"/>
        </w:rPr>
        <w:footnoteRef/>
      </w:r>
      <w:r>
        <w:t xml:space="preserve"> </w:t>
      </w:r>
      <w:r>
        <w:rPr>
          <w:i/>
        </w:rPr>
        <w:t xml:space="preserve">See </w:t>
      </w:r>
      <w:r>
        <w:t xml:space="preserve">Brian J. Love &amp; Shawn </w:t>
      </w:r>
      <w:proofErr w:type="spellStart"/>
      <w:r>
        <w:t>Ambwani</w:t>
      </w:r>
      <w:proofErr w:type="spellEnd"/>
      <w:r>
        <w:t xml:space="preserve">, </w:t>
      </w:r>
      <w:r w:rsidRPr="001C4767">
        <w:rPr>
          <w:i/>
        </w:rPr>
        <w:t xml:space="preserve">Inter </w:t>
      </w:r>
      <w:proofErr w:type="spellStart"/>
      <w:r w:rsidRPr="001C4767">
        <w:rPr>
          <w:i/>
        </w:rPr>
        <w:t>Partes</w:t>
      </w:r>
      <w:proofErr w:type="spellEnd"/>
      <w:r w:rsidRPr="00AD0360">
        <w:rPr>
          <w:i/>
        </w:rPr>
        <w:t xml:space="preserve"> Review:  An Early Look at the Numbers</w:t>
      </w:r>
      <w:r>
        <w:t>, 81 </w:t>
      </w:r>
      <w:r w:rsidRPr="002314D9">
        <w:rPr>
          <w:smallCaps/>
        </w:rPr>
        <w:t>U. Chi. L. Rev. Dialogue</w:t>
      </w:r>
      <w:r>
        <w:t xml:space="preserve"> 93, 103 (2014) (reporting that eighty percent of patents involved in inter </w:t>
      </w:r>
      <w:proofErr w:type="spellStart"/>
      <w:r>
        <w:t>partes</w:t>
      </w:r>
      <w:proofErr w:type="spellEnd"/>
      <w:r>
        <w:t xml:space="preserve"> review, the most popular new proceeding created by the America Invents Act, were also involved in litigation).</w:t>
      </w:r>
    </w:p>
  </w:footnote>
  <w:footnote w:id="8">
    <w:p w14:paraId="30CEA033" w14:textId="77777777" w:rsidR="0012014D" w:rsidRPr="00B17909" w:rsidRDefault="0012014D" w:rsidP="00FE5DB1">
      <w:pPr>
        <w:pStyle w:val="FootnoteText"/>
      </w:pPr>
      <w:r>
        <w:rPr>
          <w:rStyle w:val="FootnoteReference"/>
        </w:rPr>
        <w:footnoteRef/>
      </w:r>
      <w:r>
        <w:t xml:space="preserve"> </w:t>
      </w:r>
      <w:r w:rsidRPr="00B17909">
        <w:rPr>
          <w:i/>
        </w:rPr>
        <w:t>See</w:t>
      </w:r>
      <w:r>
        <w:t xml:space="preserve"> </w:t>
      </w:r>
      <w:r w:rsidRPr="002314D9">
        <w:rPr>
          <w:smallCaps/>
        </w:rPr>
        <w:t>Docket Navigator, Year in Review</w:t>
      </w:r>
      <w:r>
        <w:t xml:space="preserve"> 34 (2014), </w:t>
      </w:r>
      <w:r>
        <w:rPr>
          <w:i/>
        </w:rPr>
        <w:t>available at</w:t>
      </w:r>
      <w:r>
        <w:t xml:space="preserve"> </w:t>
      </w:r>
      <w:r w:rsidRPr="002314D9">
        <w:t>http://home.</w:t>
      </w:r>
      <w:r>
        <w:t xml:space="preserve">docketnavigator.com/year-review (reporting that motions to stay litigation are granted roughly sixty percent of the time). </w:t>
      </w:r>
    </w:p>
  </w:footnote>
  <w:footnote w:id="9">
    <w:p w14:paraId="77F84402" w14:textId="0CA8831C" w:rsidR="0012014D" w:rsidRDefault="0012014D">
      <w:pPr>
        <w:pStyle w:val="FootnoteText"/>
      </w:pPr>
      <w:r>
        <w:rPr>
          <w:rStyle w:val="FootnoteReference"/>
        </w:rPr>
        <w:footnoteRef/>
      </w:r>
      <w:r>
        <w:t xml:space="preserve"> </w:t>
      </w:r>
      <w:r w:rsidRPr="000A5E0E">
        <w:rPr>
          <w:i/>
        </w:rPr>
        <w:t>See</w:t>
      </w:r>
      <w:r w:rsidRPr="000A5E0E">
        <w:t xml:space="preserve"> Ethicon, Inc. v. </w:t>
      </w:r>
      <w:proofErr w:type="spellStart"/>
      <w:r w:rsidRPr="000A5E0E">
        <w:t>Quigg</w:t>
      </w:r>
      <w:proofErr w:type="spellEnd"/>
      <w:r w:rsidRPr="000A5E0E">
        <w:t>, 849 F.2d 1422, 1426-27</w:t>
      </w:r>
      <w:r>
        <w:t xml:space="preserve"> (Fed. Cir. 1988).</w:t>
      </w:r>
    </w:p>
  </w:footnote>
  <w:footnote w:id="10">
    <w:p w14:paraId="1C4CAB17" w14:textId="4E6D07B9" w:rsidR="0012014D" w:rsidRPr="00AE4B38" w:rsidRDefault="0012014D">
      <w:pPr>
        <w:pStyle w:val="FootnoteText"/>
      </w:pPr>
      <w:r>
        <w:rPr>
          <w:rStyle w:val="FootnoteReference"/>
        </w:rPr>
        <w:footnoteRef/>
      </w:r>
      <w:r>
        <w:t xml:space="preserve"> For an analysis of who is likely to prevail in this dispute, see </w:t>
      </w:r>
      <w:r w:rsidRPr="00AE4B38">
        <w:rPr>
          <w:i/>
        </w:rPr>
        <w:t>infra</w:t>
      </w:r>
      <w:r>
        <w:t xml:space="preserve"> Part II.C.</w:t>
      </w:r>
    </w:p>
  </w:footnote>
  <w:footnote w:id="11">
    <w:p w14:paraId="4761F396" w14:textId="7D9D1A86" w:rsidR="0012014D" w:rsidRPr="00DF765E" w:rsidRDefault="0012014D">
      <w:pPr>
        <w:pStyle w:val="FootnoteText"/>
      </w:pPr>
      <w:r>
        <w:rPr>
          <w:rStyle w:val="FootnoteReference"/>
        </w:rPr>
        <w:footnoteRef/>
      </w:r>
      <w:r>
        <w:t xml:space="preserve"> </w:t>
      </w:r>
      <w:r>
        <w:rPr>
          <w:i/>
        </w:rPr>
        <w:t>See</w:t>
      </w:r>
      <w:r>
        <w:t xml:space="preserve"> </w:t>
      </w:r>
      <w:r w:rsidRPr="00DF765E">
        <w:rPr>
          <w:smallCaps/>
        </w:rPr>
        <w:t xml:space="preserve">Peter S. </w:t>
      </w:r>
      <w:proofErr w:type="spellStart"/>
      <w:r w:rsidRPr="00DF765E">
        <w:rPr>
          <w:smallCaps/>
        </w:rPr>
        <w:t>Menell</w:t>
      </w:r>
      <w:proofErr w:type="spellEnd"/>
      <w:r w:rsidRPr="00DF765E">
        <w:rPr>
          <w:smallCaps/>
        </w:rPr>
        <w:t xml:space="preserve"> et al., Patent Case Management Judicial Guide</w:t>
      </w:r>
      <w:r>
        <w:t xml:space="preserve"> 2-66 (3d ed. 2015).</w:t>
      </w:r>
    </w:p>
  </w:footnote>
  <w:footnote w:id="12">
    <w:p w14:paraId="15741B4D" w14:textId="77777777" w:rsidR="0012014D" w:rsidRPr="00AC3802" w:rsidRDefault="0012014D" w:rsidP="00310786">
      <w:pPr>
        <w:pStyle w:val="FootnoteText"/>
      </w:pPr>
      <w:r>
        <w:rPr>
          <w:rStyle w:val="FootnoteReference"/>
        </w:rPr>
        <w:footnoteRef/>
      </w:r>
      <w:r>
        <w:t xml:space="preserve"> </w:t>
      </w:r>
      <w:r>
        <w:rPr>
          <w:i/>
        </w:rPr>
        <w:t xml:space="preserve">See </w:t>
      </w:r>
      <w:r>
        <w:t xml:space="preserve">Paul R. Gugliuzza, </w:t>
      </w:r>
      <w:r>
        <w:rPr>
          <w:i/>
        </w:rPr>
        <w:t>Rethinking Federal Circuit Jurisdiction</w:t>
      </w:r>
      <w:r>
        <w:t xml:space="preserve">, 100 </w:t>
      </w:r>
      <w:r w:rsidRPr="00AC3802">
        <w:rPr>
          <w:smallCaps/>
        </w:rPr>
        <w:t>Geo. L.J.</w:t>
      </w:r>
      <w:r>
        <w:t xml:space="preserve"> 1437, 1461 (2012).</w:t>
      </w:r>
    </w:p>
  </w:footnote>
  <w:footnote w:id="13">
    <w:p w14:paraId="778DD257" w14:textId="273727C5" w:rsidR="0012014D" w:rsidRDefault="0012014D" w:rsidP="0005127C">
      <w:pPr>
        <w:pStyle w:val="FootnoteText"/>
      </w:pPr>
      <w:r>
        <w:rPr>
          <w:rStyle w:val="FootnoteReference"/>
        </w:rPr>
        <w:footnoteRef/>
      </w:r>
      <w:r>
        <w:t xml:space="preserve"> </w:t>
      </w:r>
      <w:proofErr w:type="spellStart"/>
      <w:proofErr w:type="gramStart"/>
      <w:r>
        <w:t>ePlus</w:t>
      </w:r>
      <w:proofErr w:type="spellEnd"/>
      <w:proofErr w:type="gramEnd"/>
      <w:r>
        <w:t xml:space="preserve">, Inc. v. Lawson Software, Inc., </w:t>
      </w:r>
      <w:r w:rsidRPr="00C437F4">
        <w:t>789 F.3d 1349</w:t>
      </w:r>
      <w:r>
        <w:t>, 1361 (Fed. Cir. 2015); Fresenius USA, Inc. v. Baxter Int’l, Inc., 721 F.3d 1330, 1347 (Fed. Cir. 2013).</w:t>
      </w:r>
    </w:p>
  </w:footnote>
  <w:footnote w:id="14">
    <w:p w14:paraId="54E55CEA" w14:textId="72D71872" w:rsidR="0012014D" w:rsidRDefault="0012014D" w:rsidP="00CE3968">
      <w:pPr>
        <w:pStyle w:val="FootnoteText"/>
      </w:pPr>
      <w:r>
        <w:rPr>
          <w:rStyle w:val="FootnoteReference"/>
        </w:rPr>
        <w:footnoteRef/>
      </w:r>
      <w:r>
        <w:t xml:space="preserve"> </w:t>
      </w:r>
      <w:proofErr w:type="spellStart"/>
      <w:r>
        <w:t>Versata</w:t>
      </w:r>
      <w:proofErr w:type="spellEnd"/>
      <w:r>
        <w:t xml:space="preserve"> Computer Indus. Solutions, Inc. v. SAP AG, 564 F. </w:t>
      </w:r>
      <w:proofErr w:type="spellStart"/>
      <w:r>
        <w:t>App’x</w:t>
      </w:r>
      <w:proofErr w:type="spellEnd"/>
      <w:r>
        <w:t xml:space="preserve"> 600, 601 (Fed. Cir. 2014).</w:t>
      </w:r>
    </w:p>
  </w:footnote>
  <w:footnote w:id="15">
    <w:p w14:paraId="42C36190" w14:textId="5688B0DF" w:rsidR="0012014D" w:rsidRPr="005F2E43" w:rsidRDefault="0012014D" w:rsidP="005F79CC">
      <w:pPr>
        <w:pStyle w:val="FootnoteText"/>
      </w:pPr>
      <w:r>
        <w:rPr>
          <w:rStyle w:val="FootnoteReference"/>
        </w:rPr>
        <w:footnoteRef/>
      </w:r>
      <w:r>
        <w:t xml:space="preserve"> </w:t>
      </w:r>
      <w:r>
        <w:rPr>
          <w:i/>
        </w:rPr>
        <w:t>See infra</w:t>
      </w:r>
      <w:r>
        <w:t xml:space="preserve"> Part III.B.1.</w:t>
      </w:r>
    </w:p>
  </w:footnote>
  <w:footnote w:id="16">
    <w:p w14:paraId="12F5ED0C" w14:textId="3122DEC8" w:rsidR="0012014D" w:rsidRDefault="0012014D">
      <w:pPr>
        <w:pStyle w:val="FootnoteText"/>
      </w:pPr>
      <w:r>
        <w:rPr>
          <w:rStyle w:val="FootnoteReference"/>
        </w:rPr>
        <w:footnoteRef/>
      </w:r>
      <w:r>
        <w:t xml:space="preserve"> </w:t>
      </w:r>
      <w:r>
        <w:rPr>
          <w:i/>
        </w:rPr>
        <w:t>See, e.g.</w:t>
      </w:r>
      <w:r>
        <w:t>,</w:t>
      </w:r>
      <w:r>
        <w:rPr>
          <w:i/>
        </w:rPr>
        <w:t xml:space="preserve"> Fresenius</w:t>
      </w:r>
      <w:r>
        <w:t>, 721 F.3d at 1342-43 (citing Mendenhall v. Barber-Greene Co., 26 F.3d 1573 (Fed. Cir. 1994)).</w:t>
      </w:r>
    </w:p>
  </w:footnote>
  <w:footnote w:id="17">
    <w:p w14:paraId="18388F47" w14:textId="77777777" w:rsidR="0012014D" w:rsidRDefault="0012014D" w:rsidP="005F79CC">
      <w:pPr>
        <w:pStyle w:val="FootnoteText"/>
      </w:pPr>
      <w:r>
        <w:rPr>
          <w:rStyle w:val="FootnoteReference"/>
        </w:rPr>
        <w:footnoteRef/>
      </w:r>
      <w:r>
        <w:t xml:space="preserve"> Microsoft Corp. v. i4i Ltd. </w:t>
      </w:r>
      <w:proofErr w:type="spellStart"/>
      <w:r>
        <w:t>P’ship</w:t>
      </w:r>
      <w:proofErr w:type="spellEnd"/>
      <w:r>
        <w:t>, 131 S. Ct. 2238, 2242 (2011).</w:t>
      </w:r>
    </w:p>
  </w:footnote>
  <w:footnote w:id="18">
    <w:p w14:paraId="4CDD622C" w14:textId="77777777" w:rsidR="0012014D" w:rsidRDefault="0012014D" w:rsidP="005F79CC">
      <w:pPr>
        <w:pStyle w:val="FootnoteText"/>
      </w:pPr>
      <w:r>
        <w:rPr>
          <w:rStyle w:val="FootnoteReference"/>
        </w:rPr>
        <w:footnoteRef/>
      </w:r>
      <w:r>
        <w:t xml:space="preserve"> Ethicon, Inc. v. </w:t>
      </w:r>
      <w:proofErr w:type="spellStart"/>
      <w:r>
        <w:t>Quigg</w:t>
      </w:r>
      <w:proofErr w:type="spellEnd"/>
      <w:r>
        <w:t>, 849 F.2d 1422, 1427 (Fed. Cir. 1988).</w:t>
      </w:r>
    </w:p>
  </w:footnote>
  <w:footnote w:id="19">
    <w:p w14:paraId="098FE7BE" w14:textId="37E6A14A" w:rsidR="0012014D" w:rsidRPr="004C25B8" w:rsidRDefault="0012014D" w:rsidP="009649F2">
      <w:pPr>
        <w:pStyle w:val="FootnoteText"/>
      </w:pPr>
      <w:r>
        <w:rPr>
          <w:rStyle w:val="FootnoteReference"/>
        </w:rPr>
        <w:footnoteRef/>
      </w:r>
      <w:r>
        <w:t xml:space="preserve"> </w:t>
      </w:r>
      <w:r>
        <w:rPr>
          <w:i/>
        </w:rPr>
        <w:t>See, e.g.</w:t>
      </w:r>
      <w:r>
        <w:t xml:space="preserve">, Rochelle Cooper </w:t>
      </w:r>
      <w:proofErr w:type="spellStart"/>
      <w:r>
        <w:t>Dreyfuss</w:t>
      </w:r>
      <w:proofErr w:type="spellEnd"/>
      <w:r>
        <w:t xml:space="preserve">, </w:t>
      </w:r>
      <w:r w:rsidRPr="002E4C66">
        <w:rPr>
          <w:i/>
        </w:rPr>
        <w:t>Giving the Federal Circuit a Run for its Money: Challenging Patents in the PTAB</w:t>
      </w:r>
      <w:r>
        <w:t xml:space="preserve">, 91 </w:t>
      </w:r>
      <w:r w:rsidRPr="002E4C66">
        <w:rPr>
          <w:smallCaps/>
        </w:rPr>
        <w:t>Notre Dame L. Rev.</w:t>
      </w:r>
      <w:r>
        <w:t xml:space="preserve"> (forthcoming 2015), </w:t>
      </w:r>
      <w:r>
        <w:rPr>
          <w:i/>
        </w:rPr>
        <w:t>available at</w:t>
      </w:r>
      <w:r>
        <w:t xml:space="preserve"> </w:t>
      </w:r>
      <w:r w:rsidRPr="002E4C66">
        <w:t>http://ssrn.com/abstract=2572647</w:t>
      </w:r>
      <w:r>
        <w:t xml:space="preserve">; Jacob S. Sherkow, </w:t>
      </w:r>
      <w:r w:rsidRPr="002E4C66">
        <w:rPr>
          <w:i/>
        </w:rPr>
        <w:t>Administrating Patent Litigation</w:t>
      </w:r>
      <w:r>
        <w:t xml:space="preserve">, 90 </w:t>
      </w:r>
      <w:r w:rsidRPr="002E4C66">
        <w:rPr>
          <w:smallCaps/>
        </w:rPr>
        <w:t>Wash. L. Rev.</w:t>
      </w:r>
      <w:r>
        <w:t xml:space="preserve"> 205 (2015).</w:t>
      </w:r>
    </w:p>
  </w:footnote>
  <w:footnote w:id="20">
    <w:p w14:paraId="32FB2F46" w14:textId="031FEED7" w:rsidR="0012014D" w:rsidRDefault="0012014D">
      <w:pPr>
        <w:pStyle w:val="FootnoteText"/>
      </w:pPr>
      <w:r>
        <w:rPr>
          <w:rStyle w:val="FootnoteReference"/>
        </w:rPr>
        <w:footnoteRef/>
      </w:r>
      <w:r>
        <w:t xml:space="preserve"> </w:t>
      </w:r>
      <w:r>
        <w:rPr>
          <w:i/>
        </w:rPr>
        <w:t xml:space="preserve">See </w:t>
      </w:r>
      <w:r w:rsidRPr="00770EF6">
        <w:rPr>
          <w:smallCaps/>
        </w:rPr>
        <w:t xml:space="preserve">Robert C. </w:t>
      </w:r>
      <w:proofErr w:type="spellStart"/>
      <w:r w:rsidRPr="00770EF6">
        <w:rPr>
          <w:smallCaps/>
        </w:rPr>
        <w:t>Casad</w:t>
      </w:r>
      <w:proofErr w:type="spellEnd"/>
      <w:r w:rsidRPr="00770EF6">
        <w:rPr>
          <w:smallCaps/>
        </w:rPr>
        <w:t xml:space="preserve"> &amp; Kevin M. Clermont, Res Judicata:  A Handbook on Its Theory, Doctrine, and Practice</w:t>
      </w:r>
      <w:r>
        <w:t xml:space="preserve"> 16-17 (2001); </w:t>
      </w:r>
      <w:r>
        <w:rPr>
          <w:i/>
        </w:rPr>
        <w:t xml:space="preserve">see also infra </w:t>
      </w:r>
      <w:r>
        <w:t xml:space="preserve">Part III.B.3. </w:t>
      </w:r>
    </w:p>
  </w:footnote>
  <w:footnote w:id="21">
    <w:p w14:paraId="1F9AED6D" w14:textId="01B0DAEE" w:rsidR="0012014D" w:rsidRDefault="0012014D" w:rsidP="00801A8E">
      <w:pPr>
        <w:pStyle w:val="FootnoteText"/>
      </w:pPr>
      <w:r>
        <w:rPr>
          <w:rStyle w:val="FootnoteReference"/>
        </w:rPr>
        <w:footnoteRef/>
      </w:r>
      <w:r>
        <w:t xml:space="preserve"> </w:t>
      </w:r>
      <w:proofErr w:type="spellStart"/>
      <w:r>
        <w:t>Ormco</w:t>
      </w:r>
      <w:proofErr w:type="spellEnd"/>
      <w:r>
        <w:t xml:space="preserve"> Corp. v. Align Tech., Inc., 498 F.3d 1307, 1319 (Fed. Cir. 2007).</w:t>
      </w:r>
    </w:p>
  </w:footnote>
  <w:footnote w:id="22">
    <w:p w14:paraId="20470D94" w14:textId="40202242" w:rsidR="0012014D" w:rsidRPr="00A10EE8" w:rsidRDefault="0012014D">
      <w:pPr>
        <w:pStyle w:val="FootnoteText"/>
      </w:pPr>
      <w:r>
        <w:rPr>
          <w:rStyle w:val="FootnoteReference"/>
        </w:rPr>
        <w:footnoteRef/>
      </w:r>
      <w:r>
        <w:t xml:space="preserve"> </w:t>
      </w:r>
      <w:r>
        <w:rPr>
          <w:i/>
        </w:rPr>
        <w:t>See, e.g.</w:t>
      </w:r>
      <w:r>
        <w:t xml:space="preserve">, Chi. &amp; S. Air Lines v. Waterman S.S. Corp., 333 U.S. 103, 113-14 (1948); </w:t>
      </w:r>
      <w:r>
        <w:rPr>
          <w:i/>
        </w:rPr>
        <w:t>see also infra</w:t>
      </w:r>
      <w:r>
        <w:t xml:space="preserve"> Part III.A (concluding that, because the PTO is not directly reviewing court decisions on validity, the absolute finality rule ultimately does not violate existing case law on separation of powers).</w:t>
      </w:r>
    </w:p>
  </w:footnote>
  <w:footnote w:id="23">
    <w:p w14:paraId="17076D92" w14:textId="2FCC6E61" w:rsidR="0012014D" w:rsidRPr="00CB45CC" w:rsidRDefault="0012014D">
      <w:pPr>
        <w:pStyle w:val="FootnoteText"/>
      </w:pPr>
      <w:r>
        <w:rPr>
          <w:rStyle w:val="FootnoteReference"/>
        </w:rPr>
        <w:footnoteRef/>
      </w:r>
      <w:r>
        <w:t xml:space="preserve"> </w:t>
      </w:r>
      <w:r>
        <w:rPr>
          <w:i/>
        </w:rPr>
        <w:t>E.g.</w:t>
      </w:r>
      <w:r>
        <w:t xml:space="preserve">, </w:t>
      </w:r>
      <w:r w:rsidRPr="00F33314">
        <w:rPr>
          <w:smallCaps/>
        </w:rPr>
        <w:t>Adam B. Jaffe &amp; Josh Lerner, Innovation and Its Discontents:  How Our Patent System Is Endangering Innovation and Progress, and What to Do About It</w:t>
      </w:r>
      <w:r>
        <w:t xml:space="preserve"> 11-13 (2004).  </w:t>
      </w:r>
    </w:p>
  </w:footnote>
  <w:footnote w:id="24">
    <w:p w14:paraId="47F49339" w14:textId="77777777" w:rsidR="0012014D" w:rsidRPr="00733476" w:rsidRDefault="0012014D" w:rsidP="001F5A72">
      <w:pPr>
        <w:pStyle w:val="FootnoteText"/>
      </w:pPr>
      <w:r>
        <w:rPr>
          <w:rStyle w:val="FootnoteReference"/>
        </w:rPr>
        <w:footnoteRef/>
      </w:r>
      <w:r>
        <w:t xml:space="preserve"> </w:t>
      </w:r>
      <w:r w:rsidRPr="00232CBC">
        <w:rPr>
          <w:i/>
        </w:rPr>
        <w:t>Cf.</w:t>
      </w:r>
      <w:r>
        <w:t xml:space="preserve"> Stuart Minor Benjamin, </w:t>
      </w:r>
      <w:r>
        <w:rPr>
          <w:i/>
        </w:rPr>
        <w:t>Stepping Into the Same River Twice:  Rapidly Changing Facts and the Appellate Process</w:t>
      </w:r>
      <w:r>
        <w:t xml:space="preserve">, 78 </w:t>
      </w:r>
      <w:r w:rsidRPr="00733476">
        <w:rPr>
          <w:smallCaps/>
        </w:rPr>
        <w:t>Tex. L. Rev</w:t>
      </w:r>
      <w:r>
        <w:t>. 269, 369 (1999) (studying the analogous question of what an appellate court should do when “</w:t>
      </w:r>
      <w:r w:rsidRPr="00232CBC">
        <w:t>confronted with facts that have changed since the trial court made its findings</w:t>
      </w:r>
      <w:r>
        <w:t>” and concluding that there is “</w:t>
      </w:r>
      <w:r w:rsidRPr="00232CBC">
        <w:t>no ideal approach</w:t>
      </w:r>
      <w:r>
        <w:t>”</w:t>
      </w:r>
      <w:r w:rsidRPr="00232CBC">
        <w:t xml:space="preserve"> for </w:t>
      </w:r>
      <w:r>
        <w:t xml:space="preserve">resolving the issue).  </w:t>
      </w:r>
    </w:p>
  </w:footnote>
  <w:footnote w:id="25">
    <w:p w14:paraId="5FB1EE90" w14:textId="5D7CF5E8" w:rsidR="0012014D" w:rsidRDefault="0012014D" w:rsidP="00DC0994">
      <w:pPr>
        <w:pStyle w:val="FootnoteText"/>
      </w:pPr>
      <w:r>
        <w:rPr>
          <w:rStyle w:val="FootnoteReference"/>
        </w:rPr>
        <w:footnoteRef/>
      </w:r>
      <w:r>
        <w:t xml:space="preserve"> </w:t>
      </w:r>
      <w:r w:rsidRPr="00DC0994">
        <w:rPr>
          <w:i/>
        </w:rPr>
        <w:t>See</w:t>
      </w:r>
      <w:r>
        <w:t xml:space="preserve"> </w:t>
      </w:r>
      <w:proofErr w:type="spellStart"/>
      <w:r>
        <w:t>Arti</w:t>
      </w:r>
      <w:proofErr w:type="spellEnd"/>
      <w:r>
        <w:t xml:space="preserve"> K. Rai, </w:t>
      </w:r>
      <w:r w:rsidRPr="00DC0994">
        <w:rPr>
          <w:i/>
        </w:rPr>
        <w:t>Improving (Software) Patent Quality Through the Administrative Process</w:t>
      </w:r>
      <w:r>
        <w:t xml:space="preserve">, 51 </w:t>
      </w:r>
      <w:proofErr w:type="spellStart"/>
      <w:r w:rsidRPr="00DC0994">
        <w:rPr>
          <w:smallCaps/>
        </w:rPr>
        <w:t>Hous</w:t>
      </w:r>
      <w:proofErr w:type="spellEnd"/>
      <w:r w:rsidRPr="00DC0994">
        <w:rPr>
          <w:smallCaps/>
        </w:rPr>
        <w:t>. L. Rev.</w:t>
      </w:r>
      <w:r>
        <w:t xml:space="preserve"> 503, 536 (2013).</w:t>
      </w:r>
    </w:p>
  </w:footnote>
  <w:footnote w:id="26">
    <w:p w14:paraId="3FF90012" w14:textId="499C9413" w:rsidR="0012014D" w:rsidRPr="00C46F12" w:rsidRDefault="0012014D">
      <w:pPr>
        <w:pStyle w:val="FootnoteText"/>
      </w:pPr>
      <w:r>
        <w:rPr>
          <w:rStyle w:val="FootnoteReference"/>
        </w:rPr>
        <w:footnoteRef/>
      </w:r>
      <w:r>
        <w:t xml:space="preserve"> </w:t>
      </w:r>
      <w:r>
        <w:rPr>
          <w:i/>
        </w:rPr>
        <w:t>See infra</w:t>
      </w:r>
      <w:r>
        <w:t xml:space="preserve"> Part IV.B.</w:t>
      </w:r>
    </w:p>
  </w:footnote>
  <w:footnote w:id="27">
    <w:p w14:paraId="3F82D9F4" w14:textId="316694D8" w:rsidR="0012014D" w:rsidRDefault="0012014D" w:rsidP="005F434B">
      <w:pPr>
        <w:pStyle w:val="FootnoteText"/>
      </w:pPr>
      <w:r>
        <w:rPr>
          <w:rStyle w:val="FootnoteReference"/>
        </w:rPr>
        <w:footnoteRef/>
      </w:r>
      <w:r>
        <w:t xml:space="preserve"> </w:t>
      </w:r>
      <w:r>
        <w:rPr>
          <w:i/>
        </w:rPr>
        <w:t>See, e.g.</w:t>
      </w:r>
      <w:r>
        <w:t>, Protecting American Talent and Entrepreneurship (PATENT) Act of 2015, S. 1137, 114th Cong. § 11(a)-(b); Innovation Act, H.R. 9, 114th Cong. § 9(b) (2015).</w:t>
      </w:r>
    </w:p>
  </w:footnote>
  <w:footnote w:id="28">
    <w:p w14:paraId="7B842859" w14:textId="607B5F43" w:rsidR="0012014D" w:rsidRDefault="0012014D">
      <w:pPr>
        <w:pStyle w:val="FootnoteText"/>
      </w:pPr>
      <w:r>
        <w:rPr>
          <w:rStyle w:val="FootnoteReference"/>
        </w:rPr>
        <w:footnoteRef/>
      </w:r>
      <w:r>
        <w:t xml:space="preserve"> </w:t>
      </w:r>
      <w:r w:rsidRPr="00335473">
        <w:rPr>
          <w:i/>
        </w:rPr>
        <w:t>Cf.</w:t>
      </w:r>
      <w:r>
        <w:t xml:space="preserve"> </w:t>
      </w:r>
      <w:r w:rsidRPr="00335473">
        <w:rPr>
          <w:i/>
        </w:rPr>
        <w:t>In re</w:t>
      </w:r>
      <w:r>
        <w:t xml:space="preserve"> Swanson, 540 F.3d 1368, 1376 (Fed. Cir. 2008) (holding that the PTO could find that a particular prior art reference raised the “substantial new question of patentability” required to institute reexamination even though the courts had previously held that the same prior art reference did not anticipate (and therefore did not invalidate) the challenged patent).  </w:t>
      </w:r>
    </w:p>
  </w:footnote>
  <w:footnote w:id="29">
    <w:p w14:paraId="284B3475" w14:textId="6DBD00BE" w:rsidR="0012014D" w:rsidRDefault="0012014D" w:rsidP="00F67DC3">
      <w:pPr>
        <w:pStyle w:val="FootnoteText"/>
      </w:pPr>
      <w:r>
        <w:rPr>
          <w:rStyle w:val="FootnoteReference"/>
        </w:rPr>
        <w:footnoteRef/>
      </w:r>
      <w:r>
        <w:t xml:space="preserve"> </w:t>
      </w:r>
      <w:r>
        <w:rPr>
          <w:i/>
        </w:rPr>
        <w:t>See, e.g.</w:t>
      </w:r>
      <w:r>
        <w:t xml:space="preserve">, </w:t>
      </w:r>
      <w:proofErr w:type="spellStart"/>
      <w:r>
        <w:t>Ivera</w:t>
      </w:r>
      <w:proofErr w:type="spellEnd"/>
      <w:r>
        <w:t xml:space="preserve"> Med. Corp. v. </w:t>
      </w:r>
      <w:proofErr w:type="spellStart"/>
      <w:r>
        <w:t>Hospira</w:t>
      </w:r>
      <w:proofErr w:type="spellEnd"/>
      <w:r>
        <w:t xml:space="preserve">, Inc., --- F.3d ---, No. 2014-1613, 2015 WL 5214621, at *6 (Fed. Cir. Sept. 8, 2015) (reversing a district court’s grant of summary judgment of invalidity even though the PTO, in the first stage of a reexamination proceeding, had held the patent to be invalid, noting that the examiner did not consider the declarations that, in the Federal Circuit’s view, raised a factual dispute in the court case regarding the patent’s validity).  </w:t>
      </w:r>
    </w:p>
  </w:footnote>
  <w:footnote w:id="30">
    <w:p w14:paraId="2681706A" w14:textId="2B1DA23A" w:rsidR="0012014D" w:rsidRDefault="0012014D">
      <w:pPr>
        <w:pStyle w:val="FootnoteText"/>
      </w:pPr>
      <w:r>
        <w:rPr>
          <w:rStyle w:val="FootnoteReference"/>
        </w:rPr>
        <w:footnoteRef/>
      </w:r>
      <w:r>
        <w:t xml:space="preserve"> The differing legal questions and factual records in the two proceedings also explain why, even though the Federal Circuit hears all appeals from both patent litigation in district court and post-issuance review at the PTO, </w:t>
      </w:r>
      <w:r w:rsidRPr="00F503D2">
        <w:rPr>
          <w:i/>
        </w:rPr>
        <w:t>see</w:t>
      </w:r>
      <w:r>
        <w:t xml:space="preserve"> 28 U.S.C. § 1295(a)(1); 35 U.S.C. § 141(b)-(c), the Federal Circuit itself will not necessarily harmonize conflicting decisions when it reviews them on appeal.    </w:t>
      </w:r>
    </w:p>
  </w:footnote>
  <w:footnote w:id="31">
    <w:p w14:paraId="5EF62234" w14:textId="15030702" w:rsidR="0012014D" w:rsidRPr="0077703D" w:rsidRDefault="0012014D" w:rsidP="00CF3F17">
      <w:pPr>
        <w:pStyle w:val="FootnoteText"/>
      </w:pPr>
      <w:r>
        <w:rPr>
          <w:rStyle w:val="FootnoteReference"/>
        </w:rPr>
        <w:footnoteRef/>
      </w:r>
      <w:r>
        <w:t xml:space="preserve"> </w:t>
      </w:r>
      <w:r>
        <w:rPr>
          <w:i/>
        </w:rPr>
        <w:t xml:space="preserve">See </w:t>
      </w:r>
      <w:r>
        <w:t xml:space="preserve">35 U.S.C. § 281 (creating the claim for patent infringement); </w:t>
      </w:r>
      <w:r>
        <w:rPr>
          <w:i/>
        </w:rPr>
        <w:t xml:space="preserve">see also </w:t>
      </w:r>
      <w:r>
        <w:t xml:space="preserve">28 U.S.C. § 1338(a) (granting the federal district courts exclusive jurisdiction over cases “arising under” the patent laws).  If the infringing product is imported into the United States, the patent holder may also seek an exclusion order from the U.S. International Trade Commission (ITC) under section 337 of the Tariff Act.  </w:t>
      </w:r>
      <w:r>
        <w:rPr>
          <w:i/>
        </w:rPr>
        <w:t xml:space="preserve">See </w:t>
      </w:r>
      <w:r>
        <w:t xml:space="preserve">19 U.S.C. § 1337.  The ITC has become a more popular venue for patent disputes in recent years as the courts have made it more difficult to obtain injunctive relief, </w:t>
      </w:r>
      <w:r>
        <w:rPr>
          <w:i/>
        </w:rPr>
        <w:t xml:space="preserve">see </w:t>
      </w:r>
      <w:r>
        <w:t xml:space="preserve">Colleen V. </w:t>
      </w:r>
      <w:proofErr w:type="spellStart"/>
      <w:r>
        <w:t>Chien</w:t>
      </w:r>
      <w:proofErr w:type="spellEnd"/>
      <w:r>
        <w:t xml:space="preserve"> &amp; Mark A. </w:t>
      </w:r>
      <w:proofErr w:type="spellStart"/>
      <w:r>
        <w:t>Lemley</w:t>
      </w:r>
      <w:proofErr w:type="spellEnd"/>
      <w:r>
        <w:t xml:space="preserve">, </w:t>
      </w:r>
      <w:r w:rsidRPr="00CF3F17">
        <w:rPr>
          <w:i/>
        </w:rPr>
        <w:t>Patent Holdup, the ITC, and the Public Interest</w:t>
      </w:r>
      <w:r>
        <w:t xml:space="preserve">, 98 </w:t>
      </w:r>
      <w:r w:rsidRPr="00CF3F17">
        <w:rPr>
          <w:smallCaps/>
        </w:rPr>
        <w:t>Cornell L. Rev.</w:t>
      </w:r>
      <w:r>
        <w:t xml:space="preserve"> 1, 2-3 (2012), but the ITC still hears fewer than one hundred cases per year, U.S. Int’l Trade </w:t>
      </w:r>
      <w:proofErr w:type="spellStart"/>
      <w:r>
        <w:t>Comm’n</w:t>
      </w:r>
      <w:proofErr w:type="spellEnd"/>
      <w:r>
        <w:t xml:space="preserve">, </w:t>
      </w:r>
      <w:r w:rsidRPr="00CF3F17">
        <w:rPr>
          <w:i/>
        </w:rPr>
        <w:t>Number of Section 337 Investigations Instituted by Year</w:t>
      </w:r>
      <w:r>
        <w:t xml:space="preserve">, </w:t>
      </w:r>
      <w:r w:rsidRPr="00CF3F17">
        <w:t>http://www.usitc.gov/</w:t>
      </w:r>
      <w:r>
        <w:t>i</w:t>
      </w:r>
      <w:r w:rsidRPr="00CF3F17">
        <w:t>ntellectual_property/documents/cy_337_institutions.pdf</w:t>
      </w:r>
      <w:r>
        <w:t xml:space="preserve">, a mere fraction of the over 5,000 cases commenced annually in the federal district courts, </w:t>
      </w:r>
      <w:r w:rsidRPr="00CF3F17">
        <w:rPr>
          <w:smallCaps/>
        </w:rPr>
        <w:t>Docket Navigator</w:t>
      </w:r>
      <w:r>
        <w:t xml:space="preserve">, </w:t>
      </w:r>
      <w:r w:rsidRPr="00CF3F17">
        <w:rPr>
          <w:i/>
        </w:rPr>
        <w:t>supra</w:t>
      </w:r>
      <w:r>
        <w:t xml:space="preserve"> note </w:t>
      </w:r>
      <w:r>
        <w:fldChar w:fldCharType="begin"/>
      </w:r>
      <w:r>
        <w:instrText xml:space="preserve"> NOTEREF _Ref300403927 \h </w:instrText>
      </w:r>
      <w:r>
        <w:fldChar w:fldCharType="separate"/>
      </w:r>
      <w:r w:rsidR="00EF4990">
        <w:t>7</w:t>
      </w:r>
      <w:r>
        <w:fldChar w:fldCharType="end"/>
      </w:r>
      <w:r>
        <w:t xml:space="preserve">, at 5.  For a general description of patent litigation at the ITC, see </w:t>
      </w:r>
      <w:proofErr w:type="spellStart"/>
      <w:r>
        <w:t>Sapna</w:t>
      </w:r>
      <w:proofErr w:type="spellEnd"/>
      <w:r>
        <w:t xml:space="preserve"> Kumar, </w:t>
      </w:r>
      <w:r>
        <w:rPr>
          <w:i/>
        </w:rPr>
        <w:t>The Other Patent Agency:  Congressional Regulation of the ITC</w:t>
      </w:r>
      <w:r>
        <w:t xml:space="preserve">, 61 </w:t>
      </w:r>
      <w:r w:rsidRPr="0077703D">
        <w:rPr>
          <w:smallCaps/>
        </w:rPr>
        <w:t>Fla. L. Rev.</w:t>
      </w:r>
      <w:r>
        <w:t xml:space="preserve"> 529, 534-38 (2009).</w:t>
      </w:r>
    </w:p>
  </w:footnote>
  <w:footnote w:id="32">
    <w:p w14:paraId="4F252093" w14:textId="7F843D08" w:rsidR="0012014D" w:rsidRPr="002A724A" w:rsidRDefault="0012014D">
      <w:pPr>
        <w:pStyle w:val="FootnoteText"/>
      </w:pPr>
      <w:r>
        <w:rPr>
          <w:rStyle w:val="FootnoteReference"/>
        </w:rPr>
        <w:footnoteRef/>
      </w:r>
      <w:r>
        <w:t xml:space="preserve"> </w:t>
      </w:r>
      <w:r>
        <w:rPr>
          <w:i/>
        </w:rPr>
        <w:t xml:space="preserve">See </w:t>
      </w:r>
      <w:r>
        <w:t>35 U.S.C. § 282(b</w:t>
      </w:r>
      <w:proofErr w:type="gramStart"/>
      <w:r>
        <w:t>)(</w:t>
      </w:r>
      <w:proofErr w:type="gramEnd"/>
      <w:r>
        <w:t xml:space="preserve">1) (stating that </w:t>
      </w:r>
      <w:proofErr w:type="spellStart"/>
      <w:r>
        <w:t>noninfringement</w:t>
      </w:r>
      <w:proofErr w:type="spellEnd"/>
      <w:r>
        <w:t xml:space="preserve"> is a defense to a claim of patent infringement). </w:t>
      </w:r>
    </w:p>
  </w:footnote>
  <w:footnote w:id="33">
    <w:p w14:paraId="4F54BC93" w14:textId="48E47AC0" w:rsidR="0012014D" w:rsidRPr="002A724A" w:rsidRDefault="0012014D">
      <w:pPr>
        <w:pStyle w:val="FootnoteText"/>
      </w:pPr>
      <w:r>
        <w:rPr>
          <w:rStyle w:val="FootnoteReference"/>
        </w:rPr>
        <w:footnoteRef/>
      </w:r>
      <w:r>
        <w:t xml:space="preserve"> </w:t>
      </w:r>
      <w:r>
        <w:rPr>
          <w:i/>
        </w:rPr>
        <w:t>See id.</w:t>
      </w:r>
      <w:r>
        <w:t xml:space="preserve"> (</w:t>
      </w:r>
      <w:proofErr w:type="gramStart"/>
      <w:r>
        <w:t>stating</w:t>
      </w:r>
      <w:proofErr w:type="gramEnd"/>
      <w:r>
        <w:t xml:space="preserve"> that unenforceability is a defense to a claim of patent infringement); </w:t>
      </w:r>
      <w:r>
        <w:rPr>
          <w:i/>
        </w:rPr>
        <w:t>see also</w:t>
      </w:r>
      <w:r>
        <w:t xml:space="preserve"> </w:t>
      </w:r>
      <w:proofErr w:type="spellStart"/>
      <w:r w:rsidRPr="00207612">
        <w:t>Therasense</w:t>
      </w:r>
      <w:proofErr w:type="spellEnd"/>
      <w:r w:rsidRPr="00207612">
        <w:t xml:space="preserve">, Inc. v. Becton, Dickinson &amp; Co., 649 F.3d 1276, </w:t>
      </w:r>
      <w:r>
        <w:t>1287 (Fed. Cir. 2011) (en banc) (describing the doctrine of inequitable conduct).</w:t>
      </w:r>
      <w:r w:rsidRPr="00207612">
        <w:t xml:space="preserve"> </w:t>
      </w:r>
    </w:p>
  </w:footnote>
  <w:footnote w:id="34">
    <w:p w14:paraId="563185B2" w14:textId="7BCF397F" w:rsidR="0012014D" w:rsidRPr="00AE7E05" w:rsidRDefault="0012014D">
      <w:pPr>
        <w:pStyle w:val="FootnoteText"/>
      </w:pPr>
      <w:r>
        <w:rPr>
          <w:rStyle w:val="FootnoteReference"/>
        </w:rPr>
        <w:footnoteRef/>
      </w:r>
      <w:r>
        <w:t xml:space="preserve"> </w:t>
      </w:r>
      <w:r>
        <w:rPr>
          <w:i/>
        </w:rPr>
        <w:t xml:space="preserve">See </w:t>
      </w:r>
      <w:r>
        <w:t>35 U.S.C. § 282(b</w:t>
      </w:r>
      <w:proofErr w:type="gramStart"/>
      <w:r>
        <w:t>)(</w:t>
      </w:r>
      <w:proofErr w:type="gramEnd"/>
      <w:r>
        <w:t>2)-(3) (stating that invalidity is a defense to a claim of patent infringement).</w:t>
      </w:r>
    </w:p>
  </w:footnote>
  <w:footnote w:id="35">
    <w:p w14:paraId="33D90DAE" w14:textId="21D90A52" w:rsidR="0012014D" w:rsidRDefault="0012014D">
      <w:pPr>
        <w:pStyle w:val="FootnoteText"/>
      </w:pPr>
      <w:r>
        <w:rPr>
          <w:rStyle w:val="FootnoteReference"/>
        </w:rPr>
        <w:footnoteRef/>
      </w:r>
      <w:r>
        <w:t xml:space="preserve"> Under the statute, patentable subject matter includes processes, machines, manufactures, and compositions of matter.  </w:t>
      </w:r>
      <w:r>
        <w:rPr>
          <w:i/>
        </w:rPr>
        <w:t>Id.</w:t>
      </w:r>
      <w:r>
        <w:t xml:space="preserve"> § 101</w:t>
      </w:r>
    </w:p>
  </w:footnote>
  <w:footnote w:id="36">
    <w:p w14:paraId="27AF0C8A" w14:textId="4FF2CDD6" w:rsidR="0012014D" w:rsidRPr="000A767B" w:rsidRDefault="0012014D">
      <w:pPr>
        <w:pStyle w:val="FootnoteText"/>
      </w:pPr>
      <w:r>
        <w:rPr>
          <w:rStyle w:val="FootnoteReference"/>
        </w:rPr>
        <w:footnoteRef/>
      </w:r>
      <w:r>
        <w:t xml:space="preserve"> </w:t>
      </w:r>
      <w:r>
        <w:rPr>
          <w:i/>
        </w:rPr>
        <w:t>Id.</w:t>
      </w:r>
    </w:p>
  </w:footnote>
  <w:footnote w:id="37">
    <w:p w14:paraId="1F5DF949" w14:textId="29DD1F70" w:rsidR="0012014D" w:rsidRPr="000A767B" w:rsidRDefault="0012014D">
      <w:pPr>
        <w:pStyle w:val="FootnoteText"/>
      </w:pPr>
      <w:r>
        <w:rPr>
          <w:rStyle w:val="FootnoteReference"/>
        </w:rPr>
        <w:footnoteRef/>
      </w:r>
      <w:r>
        <w:t xml:space="preserve"> </w:t>
      </w:r>
      <w:r>
        <w:rPr>
          <w:i/>
        </w:rPr>
        <w:t xml:space="preserve">Id. </w:t>
      </w:r>
      <w:r>
        <w:t>§ 102.</w:t>
      </w:r>
    </w:p>
  </w:footnote>
  <w:footnote w:id="38">
    <w:p w14:paraId="1782FF79" w14:textId="197AF9DC" w:rsidR="0012014D" w:rsidRPr="00B75890" w:rsidRDefault="0012014D">
      <w:pPr>
        <w:pStyle w:val="FootnoteText"/>
      </w:pPr>
      <w:r>
        <w:rPr>
          <w:rStyle w:val="FootnoteReference"/>
        </w:rPr>
        <w:footnoteRef/>
      </w:r>
      <w:r>
        <w:t xml:space="preserve"> </w:t>
      </w:r>
      <w:r>
        <w:rPr>
          <w:i/>
        </w:rPr>
        <w:t>Id.</w:t>
      </w:r>
      <w:r>
        <w:t xml:space="preserve"> § 103.</w:t>
      </w:r>
    </w:p>
  </w:footnote>
  <w:footnote w:id="39">
    <w:p w14:paraId="246FEC4B" w14:textId="6C0F9E33" w:rsidR="0012014D" w:rsidRPr="00B75890" w:rsidRDefault="0012014D">
      <w:pPr>
        <w:pStyle w:val="FootnoteText"/>
      </w:pPr>
      <w:r>
        <w:rPr>
          <w:rStyle w:val="FootnoteReference"/>
        </w:rPr>
        <w:footnoteRef/>
      </w:r>
      <w:r>
        <w:t xml:space="preserve"> </w:t>
      </w:r>
      <w:r>
        <w:rPr>
          <w:i/>
        </w:rPr>
        <w:t xml:space="preserve">Id. </w:t>
      </w:r>
      <w:r>
        <w:t>§ 112(a).</w:t>
      </w:r>
    </w:p>
  </w:footnote>
  <w:footnote w:id="40">
    <w:p w14:paraId="0D86C8F8" w14:textId="2974FADF" w:rsidR="0012014D" w:rsidRPr="00927375" w:rsidRDefault="0012014D" w:rsidP="00927375">
      <w:pPr>
        <w:pStyle w:val="FootnoteText"/>
      </w:pPr>
      <w:r>
        <w:rPr>
          <w:rStyle w:val="FootnoteReference"/>
        </w:rPr>
        <w:footnoteRef/>
      </w:r>
      <w:r>
        <w:t xml:space="preserve"> 28 U.S.C. § 2201(a); </w:t>
      </w:r>
      <w:r>
        <w:rPr>
          <w:i/>
        </w:rPr>
        <w:t>see also</w:t>
      </w:r>
      <w:r>
        <w:t xml:space="preserve"> </w:t>
      </w:r>
      <w:proofErr w:type="spellStart"/>
      <w:r>
        <w:t>MedImmune</w:t>
      </w:r>
      <w:proofErr w:type="spellEnd"/>
      <w:r>
        <w:t>, Inc. v. Genentech, Inc., 549 U.S. 118, 127 (2007) (applying the “actual controversy” requirement to a patent dispute).</w:t>
      </w:r>
    </w:p>
  </w:footnote>
  <w:footnote w:id="41">
    <w:p w14:paraId="6E836868" w14:textId="7435AD51" w:rsidR="0012014D" w:rsidRPr="0034631F" w:rsidRDefault="0012014D" w:rsidP="00182E65">
      <w:pPr>
        <w:pStyle w:val="FootnoteText"/>
      </w:pPr>
      <w:r>
        <w:rPr>
          <w:rStyle w:val="FootnoteReference"/>
        </w:rPr>
        <w:footnoteRef/>
      </w:r>
      <w:r>
        <w:t xml:space="preserve"> </w:t>
      </w:r>
      <w:r w:rsidRPr="00927375">
        <w:t xml:space="preserve">Blonder-Tongue </w:t>
      </w:r>
      <w:proofErr w:type="gramStart"/>
      <w:r w:rsidRPr="00927375">
        <w:t>Lab</w:t>
      </w:r>
      <w:r>
        <w:t>s.,</w:t>
      </w:r>
      <w:proofErr w:type="gramEnd"/>
      <w:r w:rsidRPr="00927375">
        <w:t xml:space="preserve"> Inc. v. Univ</w:t>
      </w:r>
      <w:r>
        <w:t>.</w:t>
      </w:r>
      <w:r w:rsidRPr="00927375">
        <w:t xml:space="preserve"> of Ill</w:t>
      </w:r>
      <w:r>
        <w:t>. Found.</w:t>
      </w:r>
      <w:r w:rsidRPr="00927375">
        <w:t>, 402 U.S. 313, 317 (1971).</w:t>
      </w:r>
      <w:r>
        <w:t xml:space="preserve">  A court decision of invalidity also binds the ITC in section 337 proceedings, </w:t>
      </w:r>
      <w:r>
        <w:rPr>
          <w:i/>
        </w:rPr>
        <w:t>see supra</w:t>
      </w:r>
      <w:r>
        <w:t xml:space="preserve"> note </w:t>
      </w:r>
      <w:r>
        <w:fldChar w:fldCharType="begin"/>
      </w:r>
      <w:r>
        <w:instrText xml:space="preserve"> NOTEREF _Ref300403952 \h </w:instrText>
      </w:r>
      <w:r>
        <w:fldChar w:fldCharType="separate"/>
      </w:r>
      <w:r w:rsidR="00EF4990">
        <w:t>30</w:t>
      </w:r>
      <w:r>
        <w:fldChar w:fldCharType="end"/>
      </w:r>
      <w:r>
        <w:t>, although ITC decisions do</w:t>
      </w:r>
      <w:r>
        <w:rPr>
          <w:i/>
        </w:rPr>
        <w:t xml:space="preserve"> </w:t>
      </w:r>
      <w:r w:rsidRPr="0085219E">
        <w:t>not</w:t>
      </w:r>
      <w:r>
        <w:t xml:space="preserve"> bind the courts in subsequent litigation.  </w:t>
      </w:r>
      <w:r>
        <w:rPr>
          <w:i/>
        </w:rPr>
        <w:t>See</w:t>
      </w:r>
      <w:r>
        <w:t xml:space="preserve"> Kumar, </w:t>
      </w:r>
      <w:r>
        <w:rPr>
          <w:i/>
        </w:rPr>
        <w:t>supra</w:t>
      </w:r>
      <w:r>
        <w:t xml:space="preserve"> note </w:t>
      </w:r>
      <w:r>
        <w:fldChar w:fldCharType="begin"/>
      </w:r>
      <w:r>
        <w:instrText xml:space="preserve"> NOTEREF _Ref300403952 \h </w:instrText>
      </w:r>
      <w:r>
        <w:fldChar w:fldCharType="separate"/>
      </w:r>
      <w:r w:rsidR="00EF4990">
        <w:t>30</w:t>
      </w:r>
      <w:r>
        <w:fldChar w:fldCharType="end"/>
      </w:r>
      <w:r>
        <w:t xml:space="preserve">, at 558, 561-63 (citing cases).  Accordingly, much like the courts and the PTO can disagree about the validity of a particular patent, the courts and the ITC can also reach conflicting decisions.  </w:t>
      </w:r>
      <w:r>
        <w:rPr>
          <w:i/>
        </w:rPr>
        <w:t xml:space="preserve">See </w:t>
      </w:r>
      <w:r>
        <w:t xml:space="preserve">Robert W. Hahn &amp; Hal J. Singer, </w:t>
      </w:r>
      <w:r>
        <w:rPr>
          <w:i/>
        </w:rPr>
        <w:t>Assessing Bias in Patent Infringement Cases:  A Review of International Trade Commission Decisions</w:t>
      </w:r>
      <w:r>
        <w:t xml:space="preserve">, 21 </w:t>
      </w:r>
      <w:proofErr w:type="spellStart"/>
      <w:r w:rsidRPr="00C72D37">
        <w:rPr>
          <w:smallCaps/>
        </w:rPr>
        <w:t>Harv</w:t>
      </w:r>
      <w:proofErr w:type="spellEnd"/>
      <w:r w:rsidRPr="00C72D37">
        <w:rPr>
          <w:smallCaps/>
        </w:rPr>
        <w:t>. J.L. &amp; Tech.</w:t>
      </w:r>
      <w:r>
        <w:t xml:space="preserve"> 457, 491-98 (2008) (citing examples).  For an argument that Congress should grant ITC decisions preclusive effect in federal court, see Kumar, </w:t>
      </w:r>
      <w:r>
        <w:rPr>
          <w:i/>
        </w:rPr>
        <w:t>supra</w:t>
      </w:r>
      <w:r>
        <w:t xml:space="preserve"> note </w:t>
      </w:r>
      <w:r>
        <w:fldChar w:fldCharType="begin"/>
      </w:r>
      <w:r>
        <w:instrText xml:space="preserve"> NOTEREF _Ref300403952 \h </w:instrText>
      </w:r>
      <w:r>
        <w:fldChar w:fldCharType="separate"/>
      </w:r>
      <w:r w:rsidR="00EF4990">
        <w:t>30</w:t>
      </w:r>
      <w:r>
        <w:fldChar w:fldCharType="end"/>
      </w:r>
      <w:r>
        <w:t>, at 533.</w:t>
      </w:r>
    </w:p>
  </w:footnote>
  <w:footnote w:id="42">
    <w:p w14:paraId="1BC01376" w14:textId="272F9C89" w:rsidR="0012014D" w:rsidRDefault="0012014D" w:rsidP="00DE4000">
      <w:pPr>
        <w:pStyle w:val="FootnoteText"/>
      </w:pPr>
      <w:r>
        <w:rPr>
          <w:rStyle w:val="FootnoteReference"/>
        </w:rPr>
        <w:footnoteRef/>
      </w:r>
      <w:r>
        <w:t xml:space="preserve"> </w:t>
      </w:r>
      <w:r>
        <w:rPr>
          <w:i/>
        </w:rPr>
        <w:t xml:space="preserve">See In re </w:t>
      </w:r>
      <w:r>
        <w:t>Constr. Equip. Co., 665 F.3d 1254, 1256 n.3 (Fed. Cir. 2011).</w:t>
      </w:r>
    </w:p>
  </w:footnote>
  <w:footnote w:id="43">
    <w:p w14:paraId="61E6FD2E" w14:textId="36E7583B" w:rsidR="0012014D" w:rsidRPr="001418EB" w:rsidRDefault="0012014D" w:rsidP="001418EB">
      <w:pPr>
        <w:pStyle w:val="FootnoteText"/>
      </w:pPr>
      <w:r>
        <w:rPr>
          <w:rStyle w:val="FootnoteReference"/>
        </w:rPr>
        <w:footnoteRef/>
      </w:r>
      <w:r>
        <w:t xml:space="preserve"> </w:t>
      </w:r>
      <w:r>
        <w:rPr>
          <w:i/>
        </w:rPr>
        <w:t xml:space="preserve">See </w:t>
      </w:r>
      <w:r>
        <w:t xml:space="preserve">Taylor v. </w:t>
      </w:r>
      <w:proofErr w:type="spellStart"/>
      <w:r>
        <w:t>Sturgell</w:t>
      </w:r>
      <w:proofErr w:type="spellEnd"/>
      <w:r>
        <w:t xml:space="preserve">, 553 U.S. 880, 893-94 (2008).  For a critique of limits on nonparty preclusion, see Robert G. Bone, </w:t>
      </w:r>
      <w:r w:rsidRPr="00D643F6">
        <w:rPr>
          <w:i/>
        </w:rPr>
        <w:t>Rethinking the “Day in Court” Ideal and Nonparty Preclusion</w:t>
      </w:r>
      <w:r>
        <w:t xml:space="preserve">, 67 </w:t>
      </w:r>
      <w:r w:rsidRPr="00D643F6">
        <w:rPr>
          <w:smallCaps/>
        </w:rPr>
        <w:t>N.Y.U. L. Rev.</w:t>
      </w:r>
      <w:r>
        <w:t xml:space="preserve"> 193, 196-97 (1992).</w:t>
      </w:r>
    </w:p>
  </w:footnote>
  <w:footnote w:id="44">
    <w:p w14:paraId="43113E8F" w14:textId="2D14F094" w:rsidR="0012014D" w:rsidRDefault="0012014D">
      <w:pPr>
        <w:pStyle w:val="FootnoteText"/>
      </w:pPr>
      <w:r>
        <w:rPr>
          <w:rStyle w:val="FootnoteReference"/>
        </w:rPr>
        <w:footnoteRef/>
      </w:r>
      <w:r>
        <w:t xml:space="preserve"> Ethicon, Inc. v. </w:t>
      </w:r>
      <w:proofErr w:type="spellStart"/>
      <w:r>
        <w:t>Quigg</w:t>
      </w:r>
      <w:proofErr w:type="spellEnd"/>
      <w:r>
        <w:t>, 849 F.2d 1422, 1429 n.3 (Fed. Cir. 1988) (citation and some internal quotation marks omitted).</w:t>
      </w:r>
    </w:p>
  </w:footnote>
  <w:footnote w:id="45">
    <w:p w14:paraId="510F0A2B" w14:textId="0FBC767C" w:rsidR="0012014D" w:rsidRDefault="0012014D">
      <w:pPr>
        <w:pStyle w:val="FootnoteText"/>
      </w:pPr>
      <w:r>
        <w:rPr>
          <w:rStyle w:val="FootnoteReference"/>
        </w:rPr>
        <w:footnoteRef/>
      </w:r>
      <w:r>
        <w:t xml:space="preserve"> The PTO has long had the authority to reissue patents to cure errors in the original, </w:t>
      </w:r>
      <w:r>
        <w:rPr>
          <w:i/>
        </w:rPr>
        <w:t xml:space="preserve">see </w:t>
      </w:r>
      <w:r>
        <w:t xml:space="preserve">Grant v. Raymond, 31 U.S. 218, 244 (1832); </w:t>
      </w:r>
      <w:r>
        <w:rPr>
          <w:i/>
        </w:rPr>
        <w:t xml:space="preserve">see also </w:t>
      </w:r>
      <w:r>
        <w:t xml:space="preserve">35 U.S.C. § 251 (current reissue statute), but reissue proceedings </w:t>
      </w:r>
      <w:r w:rsidRPr="007633D4">
        <w:t>can be initiated only at the request of the patentee, so they are not particularly useful to potential infringers.</w:t>
      </w:r>
      <w:r>
        <w:t xml:space="preserve">  </w:t>
      </w:r>
      <w:r>
        <w:rPr>
          <w:i/>
        </w:rPr>
        <w:t xml:space="preserve">See </w:t>
      </w:r>
      <w:r w:rsidRPr="007633D4">
        <w:t xml:space="preserve">Russell E. Levine </w:t>
      </w:r>
      <w:proofErr w:type="gramStart"/>
      <w:r w:rsidRPr="007633D4">
        <w:t>et</w:t>
      </w:r>
      <w:proofErr w:type="gramEnd"/>
      <w:r w:rsidRPr="007633D4">
        <w:t xml:space="preserve">. al., </w:t>
      </w:r>
      <w:r w:rsidRPr="007633D4">
        <w:rPr>
          <w:i/>
        </w:rPr>
        <w:t>Ex Parte Patent Practice and the Rights of Third Parties</w:t>
      </w:r>
      <w:r w:rsidRPr="007633D4">
        <w:t xml:space="preserve">, 45 </w:t>
      </w:r>
      <w:r w:rsidRPr="007633D4">
        <w:rPr>
          <w:smallCaps/>
        </w:rPr>
        <w:t xml:space="preserve">Am. U. L. Rev. </w:t>
      </w:r>
      <w:r w:rsidRPr="007633D4">
        <w:t xml:space="preserve">1987, 2008 (1996).  </w:t>
      </w:r>
    </w:p>
  </w:footnote>
  <w:footnote w:id="46">
    <w:p w14:paraId="2E4FFEC7" w14:textId="76745C91" w:rsidR="0012014D" w:rsidRPr="00736FC3" w:rsidRDefault="0012014D">
      <w:pPr>
        <w:pStyle w:val="FootnoteText"/>
      </w:pPr>
      <w:r w:rsidRPr="00757883">
        <w:rPr>
          <w:rStyle w:val="FootnoteReference"/>
        </w:rPr>
        <w:footnoteRef/>
      </w:r>
      <w:r w:rsidRPr="00757883">
        <w:t xml:space="preserve"> </w:t>
      </w:r>
      <w:r w:rsidRPr="00757883">
        <w:rPr>
          <w:i/>
        </w:rPr>
        <w:t>See</w:t>
      </w:r>
      <w:r w:rsidRPr="00757883">
        <w:t xml:space="preserve"> 35 U.S.C. §</w:t>
      </w:r>
      <w:r>
        <w:t xml:space="preserve"> 3</w:t>
      </w:r>
      <w:r w:rsidRPr="00757883">
        <w:t>02.</w:t>
      </w:r>
      <w:r>
        <w:t xml:space="preserve">  The prior art is all the information</w:t>
      </w:r>
      <w:r w:rsidRPr="003A4003">
        <w:t xml:space="preserve"> </w:t>
      </w:r>
      <w:r>
        <w:t xml:space="preserve">relevant to a patent’s claim of originality.  It includes not only the patents and printed publications that can provide the basis for reexamination, but other forms of public knowledge, including prior sales and public uses of the invention.  </w:t>
      </w:r>
      <w:r>
        <w:rPr>
          <w:i/>
        </w:rPr>
        <w:t>See id.</w:t>
      </w:r>
      <w:r>
        <w:t xml:space="preserve"> §§ 102(a), 103.  Because the prior art on which the PTO may rely in reexamination is limited to patents and printed publications, many important requirements for patent validity, such as patentable subject matter under § 101 of the Patent Act and adequate disclosure under § 112, cannot be challenged through reexamination. </w:t>
      </w:r>
    </w:p>
  </w:footnote>
  <w:footnote w:id="47">
    <w:p w14:paraId="666C2FF3" w14:textId="49FAAC7D" w:rsidR="0012014D" w:rsidRDefault="0012014D" w:rsidP="007505C4">
      <w:pPr>
        <w:pStyle w:val="FootnoteText"/>
      </w:pPr>
      <w:r>
        <w:rPr>
          <w:rStyle w:val="FootnoteReference"/>
        </w:rPr>
        <w:footnoteRef/>
      </w:r>
      <w:r>
        <w:t xml:space="preserve"> </w:t>
      </w:r>
      <w:r w:rsidRPr="00FA7EC3">
        <w:rPr>
          <w:smallCaps/>
        </w:rPr>
        <w:t>H.R. Rep. No.</w:t>
      </w:r>
      <w:r>
        <w:t xml:space="preserve"> 96-1307, at 3-4 (1980).</w:t>
      </w:r>
    </w:p>
  </w:footnote>
  <w:footnote w:id="48">
    <w:p w14:paraId="7147F9EA" w14:textId="47B98652" w:rsidR="0012014D" w:rsidRPr="00E1295A" w:rsidRDefault="0012014D">
      <w:pPr>
        <w:pStyle w:val="FootnoteText"/>
      </w:pPr>
      <w:r>
        <w:rPr>
          <w:rStyle w:val="FootnoteReference"/>
        </w:rPr>
        <w:footnoteRef/>
      </w:r>
      <w:r>
        <w:t xml:space="preserve"> 35 U.S.C. § 303(a).  </w:t>
      </w:r>
    </w:p>
  </w:footnote>
  <w:footnote w:id="49">
    <w:p w14:paraId="15A0E33F" w14:textId="08F585D0" w:rsidR="0012014D" w:rsidRDefault="0012014D" w:rsidP="00E1295A">
      <w:pPr>
        <w:pStyle w:val="FootnoteText"/>
      </w:pPr>
      <w:r>
        <w:rPr>
          <w:rStyle w:val="FootnoteReference"/>
        </w:rPr>
        <w:footnoteRef/>
      </w:r>
      <w:r>
        <w:t xml:space="preserve"> </w:t>
      </w:r>
      <w:r>
        <w:rPr>
          <w:i/>
        </w:rPr>
        <w:t xml:space="preserve">See </w:t>
      </w:r>
      <w:r>
        <w:rPr>
          <w:smallCaps/>
        </w:rPr>
        <w:t>U.S. Pat. &amp; Trademark Off.</w:t>
      </w:r>
      <w:r w:rsidRPr="00BF6F6E">
        <w:rPr>
          <w:smallCaps/>
        </w:rPr>
        <w:t>, Ex Parte Reexamination Filing Data</w:t>
      </w:r>
      <w:r>
        <w:t xml:space="preserve"> 1-2 (Sept. 30, 2014)</w:t>
      </w:r>
      <w:r w:rsidRPr="00C958FF">
        <w:t xml:space="preserve"> </w:t>
      </w:r>
      <w:r>
        <w:t xml:space="preserve">[hereinafter, </w:t>
      </w:r>
      <w:r w:rsidRPr="0060739F">
        <w:rPr>
          <w:smallCaps/>
        </w:rPr>
        <w:t xml:space="preserve">Ex Parte Reexamination </w:t>
      </w:r>
      <w:r>
        <w:rPr>
          <w:smallCaps/>
        </w:rPr>
        <w:t xml:space="preserve">Filing </w:t>
      </w:r>
      <w:r w:rsidRPr="0060739F">
        <w:rPr>
          <w:smallCaps/>
        </w:rPr>
        <w:t>Data</w:t>
      </w:r>
      <w:r>
        <w:t xml:space="preserve">], </w:t>
      </w:r>
      <w:r w:rsidRPr="00BF6F6E">
        <w:rPr>
          <w:i/>
        </w:rPr>
        <w:t>available at</w:t>
      </w:r>
      <w:r>
        <w:t xml:space="preserve"> </w:t>
      </w:r>
      <w:r w:rsidRPr="00C958FF">
        <w:t>http://www.uspto.gov/sites/default/files/documents/ex_parte_historical_stats_roll_up_</w:t>
      </w:r>
      <w:r w:rsidRPr="00BF6F6E">
        <w:t>EOY2014.</w:t>
      </w:r>
      <w:r>
        <w:t xml:space="preserve"> </w:t>
      </w:r>
      <w:proofErr w:type="gramStart"/>
      <w:r w:rsidRPr="00BF6F6E">
        <w:t>pdf</w:t>
      </w:r>
      <w:proofErr w:type="gramEnd"/>
      <w:r>
        <w:t xml:space="preserve">.  For criticism of the PTO’s lax application of the “substantial new question of patentability” standard, see Mark D. Janis, </w:t>
      </w:r>
      <w:r>
        <w:rPr>
          <w:i/>
        </w:rPr>
        <w:t>Rethinking Reexamination:  Toward a Viable Administrative Revocation System for U.S. Patent Law</w:t>
      </w:r>
      <w:r>
        <w:t xml:space="preserve">, 11 </w:t>
      </w:r>
      <w:proofErr w:type="spellStart"/>
      <w:r w:rsidRPr="00BF5A11">
        <w:rPr>
          <w:smallCaps/>
        </w:rPr>
        <w:t>Harv</w:t>
      </w:r>
      <w:proofErr w:type="spellEnd"/>
      <w:r w:rsidRPr="00BF5A11">
        <w:rPr>
          <w:smallCaps/>
        </w:rPr>
        <w:t>. J. L. &amp; Tech.</w:t>
      </w:r>
      <w:r>
        <w:t xml:space="preserve"> 1, 48-50 (1997). </w:t>
      </w:r>
    </w:p>
  </w:footnote>
  <w:footnote w:id="50">
    <w:p w14:paraId="39EA805F" w14:textId="03FE1CA5" w:rsidR="0012014D" w:rsidRPr="00C85E5C" w:rsidRDefault="0012014D">
      <w:pPr>
        <w:pStyle w:val="FootnoteText"/>
      </w:pPr>
      <w:r>
        <w:rPr>
          <w:rStyle w:val="FootnoteReference"/>
        </w:rPr>
        <w:footnoteRef/>
      </w:r>
      <w:r>
        <w:t xml:space="preserve"> </w:t>
      </w:r>
      <w:r w:rsidRPr="0060739F">
        <w:rPr>
          <w:smallCaps/>
        </w:rPr>
        <w:t xml:space="preserve">Ex Parte Reexamination </w:t>
      </w:r>
      <w:r>
        <w:rPr>
          <w:smallCaps/>
        </w:rPr>
        <w:t xml:space="preserve">Filing </w:t>
      </w:r>
      <w:r w:rsidRPr="0060739F">
        <w:rPr>
          <w:smallCaps/>
        </w:rPr>
        <w:t>Data</w:t>
      </w:r>
      <w:r>
        <w:rPr>
          <w:smallCaps/>
        </w:rPr>
        <w:t xml:space="preserve">, </w:t>
      </w:r>
      <w:r w:rsidRPr="0054082F">
        <w:rPr>
          <w:i/>
        </w:rPr>
        <w:t>supra</w:t>
      </w:r>
      <w:r w:rsidRPr="0054082F">
        <w:t xml:space="preserve"> note</w:t>
      </w:r>
      <w:r>
        <w:t xml:space="preserve"> </w:t>
      </w:r>
      <w:r>
        <w:fldChar w:fldCharType="begin"/>
      </w:r>
      <w:r>
        <w:instrText xml:space="preserve"> NOTEREF _Ref300404028 \h </w:instrText>
      </w:r>
      <w:r>
        <w:fldChar w:fldCharType="separate"/>
      </w:r>
      <w:r w:rsidR="00EF4990">
        <w:t>48</w:t>
      </w:r>
      <w:r>
        <w:fldChar w:fldCharType="end"/>
      </w:r>
      <w:r w:rsidRPr="0054082F">
        <w:t>, at 1-2.</w:t>
      </w:r>
      <w:r>
        <w:t xml:space="preserve">  This is down from a pre-AIA high of 787 in 2012.  </w:t>
      </w:r>
      <w:r>
        <w:rPr>
          <w:i/>
        </w:rPr>
        <w:t>Id.</w:t>
      </w:r>
      <w:r>
        <w:t xml:space="preserve"> at 1.  This decrease is likely due in part to the availability of the new inter </w:t>
      </w:r>
      <w:proofErr w:type="spellStart"/>
      <w:r>
        <w:t>partes</w:t>
      </w:r>
      <w:proofErr w:type="spellEnd"/>
      <w:r>
        <w:t xml:space="preserve"> review proceeding, discussed below, and to an increase in filing fees for ex parte reexamination, from $2520 before the America Invents Act, </w:t>
      </w:r>
      <w:r>
        <w:rPr>
          <w:i/>
        </w:rPr>
        <w:t xml:space="preserve">see </w:t>
      </w:r>
      <w:r>
        <w:t xml:space="preserve">Dennis Crouch, </w:t>
      </w:r>
      <w:r w:rsidRPr="00DF5602">
        <w:rPr>
          <w:i/>
        </w:rPr>
        <w:t>A Rush to File Ex Parte Reexaminations and Now a Lull</w:t>
      </w:r>
      <w:r>
        <w:t xml:space="preserve">, </w:t>
      </w:r>
      <w:proofErr w:type="spellStart"/>
      <w:r w:rsidRPr="00DF5602">
        <w:rPr>
          <w:smallCaps/>
        </w:rPr>
        <w:t>PatentlyO</w:t>
      </w:r>
      <w:proofErr w:type="spellEnd"/>
      <w:r>
        <w:t xml:space="preserve"> (Nov. 4, 2012), </w:t>
      </w:r>
      <w:r w:rsidRPr="00DF5602">
        <w:t>http://patentlyo.com/patent/2012/11/a-rush-to-file-ex-parte-reexaminations-and-now-a-lull.html</w:t>
      </w:r>
      <w:r>
        <w:t xml:space="preserve">, to $12,000 today, </w:t>
      </w:r>
      <w:r>
        <w:rPr>
          <w:i/>
        </w:rPr>
        <w:t xml:space="preserve">see </w:t>
      </w:r>
      <w:r>
        <w:t xml:space="preserve">Dennis Crouch, </w:t>
      </w:r>
      <w:r w:rsidRPr="00DF5602">
        <w:rPr>
          <w:i/>
        </w:rPr>
        <w:t>USPTO Fee Change on March 19</w:t>
      </w:r>
      <w:r>
        <w:t xml:space="preserve">, </w:t>
      </w:r>
      <w:proofErr w:type="spellStart"/>
      <w:r w:rsidRPr="00DF5602">
        <w:rPr>
          <w:smallCaps/>
        </w:rPr>
        <w:t>PatentlyO</w:t>
      </w:r>
      <w:proofErr w:type="spellEnd"/>
      <w:r w:rsidRPr="00DF5602">
        <w:rPr>
          <w:smallCaps/>
        </w:rPr>
        <w:t xml:space="preserve"> </w:t>
      </w:r>
      <w:r>
        <w:t xml:space="preserve">(Mar. 18, 2013), </w:t>
      </w:r>
      <w:r w:rsidRPr="00DF5602">
        <w:t>http://patentlyo.com/patent/2013/03/uspto-fee-change-on-march-19.html</w:t>
      </w:r>
      <w:r>
        <w:t xml:space="preserve">. </w:t>
      </w:r>
    </w:p>
  </w:footnote>
  <w:footnote w:id="51">
    <w:p w14:paraId="49031BC0" w14:textId="7DD73679" w:rsidR="0012014D" w:rsidRPr="00386086" w:rsidRDefault="0012014D">
      <w:pPr>
        <w:pStyle w:val="FootnoteText"/>
      </w:pPr>
      <w:r>
        <w:rPr>
          <w:rStyle w:val="FootnoteReference"/>
        </w:rPr>
        <w:footnoteRef/>
      </w:r>
      <w:r>
        <w:t xml:space="preserve"> </w:t>
      </w:r>
      <w:r w:rsidRPr="00BF6F6E">
        <w:rPr>
          <w:smallCaps/>
        </w:rPr>
        <w:t>Ex Parte Reexamination Filing Data</w:t>
      </w:r>
      <w:r>
        <w:rPr>
          <w:smallCaps/>
        </w:rPr>
        <w:t xml:space="preserve">, </w:t>
      </w:r>
      <w:r w:rsidRPr="00C958FF">
        <w:rPr>
          <w:i/>
        </w:rPr>
        <w:t>supra</w:t>
      </w:r>
      <w:r w:rsidRPr="00C958FF">
        <w:t xml:space="preserve"> note </w:t>
      </w:r>
      <w:r>
        <w:fldChar w:fldCharType="begin"/>
      </w:r>
      <w:r>
        <w:instrText xml:space="preserve"> NOTEREF _Ref300404028 \h </w:instrText>
      </w:r>
      <w:r>
        <w:fldChar w:fldCharType="separate"/>
      </w:r>
      <w:r w:rsidR="00EF4990">
        <w:t>48</w:t>
      </w:r>
      <w:r>
        <w:fldChar w:fldCharType="end"/>
      </w:r>
      <w:r>
        <w:t>, at 2.</w:t>
      </w:r>
    </w:p>
  </w:footnote>
  <w:footnote w:id="52">
    <w:p w14:paraId="573FFC54" w14:textId="398054AA" w:rsidR="0012014D" w:rsidRPr="00386086" w:rsidRDefault="0012014D" w:rsidP="000C5E0A">
      <w:pPr>
        <w:pStyle w:val="FootnoteText"/>
      </w:pPr>
      <w:r>
        <w:rPr>
          <w:rStyle w:val="FootnoteReference"/>
        </w:rPr>
        <w:footnoteRef/>
      </w:r>
      <w:r>
        <w:t xml:space="preserve"> </w:t>
      </w:r>
      <w:r>
        <w:rPr>
          <w:i/>
        </w:rPr>
        <w:t>Id.</w:t>
      </w:r>
      <w:r>
        <w:t xml:space="preserve"> </w:t>
      </w:r>
    </w:p>
  </w:footnote>
  <w:footnote w:id="53">
    <w:p w14:paraId="25E9E970" w14:textId="616F74FA" w:rsidR="0012014D" w:rsidRPr="00386086" w:rsidRDefault="0012014D">
      <w:pPr>
        <w:pStyle w:val="FootnoteText"/>
        <w:rPr>
          <w:i/>
        </w:rPr>
      </w:pPr>
      <w:r>
        <w:rPr>
          <w:rStyle w:val="FootnoteReference"/>
        </w:rPr>
        <w:footnoteRef/>
      </w:r>
      <w:r>
        <w:t xml:space="preserve"> </w:t>
      </w:r>
      <w:r>
        <w:rPr>
          <w:i/>
        </w:rPr>
        <w:t>Id.</w:t>
      </w:r>
    </w:p>
  </w:footnote>
  <w:footnote w:id="54">
    <w:p w14:paraId="3E1F0F53" w14:textId="736F63DF" w:rsidR="0012014D" w:rsidRPr="0060739F" w:rsidRDefault="0012014D" w:rsidP="0060739F">
      <w:pPr>
        <w:pStyle w:val="FootnoteText"/>
      </w:pPr>
      <w:r>
        <w:rPr>
          <w:rStyle w:val="FootnoteReference"/>
        </w:rPr>
        <w:footnoteRef/>
      </w:r>
      <w:r>
        <w:t xml:space="preserve">  35 U.S.C.</w:t>
      </w:r>
      <w:r>
        <w:rPr>
          <w:i/>
        </w:rPr>
        <w:t xml:space="preserve"> </w:t>
      </w:r>
      <w:r>
        <w:t>§ 305.</w:t>
      </w:r>
    </w:p>
  </w:footnote>
  <w:footnote w:id="55">
    <w:p w14:paraId="573230A8" w14:textId="0952F631" w:rsidR="0012014D" w:rsidRPr="00DF5602" w:rsidRDefault="0012014D">
      <w:pPr>
        <w:pStyle w:val="FootnoteText"/>
        <w:rPr>
          <w:i/>
        </w:rPr>
      </w:pPr>
      <w:r>
        <w:rPr>
          <w:rStyle w:val="FootnoteReference"/>
        </w:rPr>
        <w:footnoteRef/>
      </w:r>
      <w:r>
        <w:t xml:space="preserve"> </w:t>
      </w:r>
      <w:r>
        <w:rPr>
          <w:i/>
        </w:rPr>
        <w:t xml:space="preserve">See </w:t>
      </w:r>
      <w:r w:rsidRPr="00BF6F6E">
        <w:rPr>
          <w:smallCaps/>
        </w:rPr>
        <w:t>Ex Parte Reexamination Filing Data</w:t>
      </w:r>
      <w:r>
        <w:rPr>
          <w:smallCaps/>
        </w:rPr>
        <w:t xml:space="preserve">, </w:t>
      </w:r>
      <w:r w:rsidRPr="00C958FF">
        <w:rPr>
          <w:i/>
        </w:rPr>
        <w:t>supra</w:t>
      </w:r>
      <w:r w:rsidRPr="00C958FF">
        <w:t xml:space="preserve"> note </w:t>
      </w:r>
      <w:r>
        <w:fldChar w:fldCharType="begin"/>
      </w:r>
      <w:r>
        <w:instrText xml:space="preserve"> NOTEREF _Ref300404028 \h </w:instrText>
      </w:r>
      <w:r>
        <w:fldChar w:fldCharType="separate"/>
      </w:r>
      <w:r w:rsidR="00EF4990">
        <w:t>48</w:t>
      </w:r>
      <w:r>
        <w:fldChar w:fldCharType="end"/>
      </w:r>
      <w:r>
        <w:t>, at 1 (reporting an average pendency of 27.8 months and a median pendency of 20.1 months).</w:t>
      </w:r>
    </w:p>
  </w:footnote>
  <w:footnote w:id="56">
    <w:p w14:paraId="69BFC0D9" w14:textId="57ACE14F" w:rsidR="0012014D" w:rsidRPr="00DF14C2" w:rsidRDefault="0012014D" w:rsidP="00F8238A">
      <w:pPr>
        <w:pStyle w:val="FootnoteText"/>
      </w:pPr>
      <w:r>
        <w:rPr>
          <w:rStyle w:val="FootnoteReference"/>
        </w:rPr>
        <w:footnoteRef/>
      </w:r>
      <w:r>
        <w:t xml:space="preserve"> Optional Inter </w:t>
      </w:r>
      <w:proofErr w:type="spellStart"/>
      <w:r>
        <w:t>Partes</w:t>
      </w:r>
      <w:proofErr w:type="spellEnd"/>
      <w:r>
        <w:t xml:space="preserve"> Reexamination Procedure Act of 1999, Pub. L. No. 106-113, 113 Stat. 1501, </w:t>
      </w:r>
      <w:r>
        <w:rPr>
          <w:i/>
        </w:rPr>
        <w:t xml:space="preserve">repealed by </w:t>
      </w:r>
      <w:r w:rsidRPr="004C3F91">
        <w:rPr>
          <w:rFonts w:cs="Times"/>
        </w:rPr>
        <w:t xml:space="preserve">America Invents Act, Pub. L. No. 112-29, </w:t>
      </w:r>
      <w:r>
        <w:rPr>
          <w:rFonts w:cs="Times"/>
        </w:rPr>
        <w:t xml:space="preserve">§ 6, </w:t>
      </w:r>
      <w:r w:rsidRPr="004C3F91">
        <w:rPr>
          <w:rFonts w:cs="Times"/>
        </w:rPr>
        <w:t>125 Stat. 284</w:t>
      </w:r>
      <w:r>
        <w:rPr>
          <w:rFonts w:cs="Times"/>
        </w:rPr>
        <w:t>, 299-313</w:t>
      </w:r>
      <w:r w:rsidRPr="004C3F91">
        <w:rPr>
          <w:rFonts w:cs="Times"/>
        </w:rPr>
        <w:t xml:space="preserve"> (2011)</w:t>
      </w:r>
      <w:r>
        <w:rPr>
          <w:rFonts w:cs="Times"/>
        </w:rPr>
        <w:t xml:space="preserve">; </w:t>
      </w:r>
      <w:r>
        <w:rPr>
          <w:rFonts w:cs="Times"/>
          <w:i/>
        </w:rPr>
        <w:t>see also infra</w:t>
      </w:r>
      <w:r>
        <w:rPr>
          <w:rFonts w:cs="Times"/>
        </w:rPr>
        <w:t xml:space="preserve"> text accompanying notes </w:t>
      </w:r>
      <w:r>
        <w:rPr>
          <w:rFonts w:cs="Times"/>
        </w:rPr>
        <w:fldChar w:fldCharType="begin"/>
      </w:r>
      <w:r>
        <w:rPr>
          <w:rFonts w:cs="Times"/>
        </w:rPr>
        <w:instrText xml:space="preserve"> NOTEREF _Ref304631074 \h </w:instrText>
      </w:r>
      <w:r>
        <w:rPr>
          <w:rFonts w:cs="Times"/>
        </w:rPr>
      </w:r>
      <w:r>
        <w:rPr>
          <w:rFonts w:cs="Times"/>
        </w:rPr>
        <w:fldChar w:fldCharType="separate"/>
      </w:r>
      <w:r w:rsidR="00EF4990">
        <w:rPr>
          <w:rFonts w:cs="Times"/>
        </w:rPr>
        <w:t>70</w:t>
      </w:r>
      <w:r>
        <w:rPr>
          <w:rFonts w:cs="Times"/>
        </w:rPr>
        <w:fldChar w:fldCharType="end"/>
      </w:r>
      <w:r>
        <w:rPr>
          <w:rFonts w:cs="Times"/>
        </w:rPr>
        <w:t>-</w:t>
      </w:r>
      <w:r>
        <w:rPr>
          <w:rFonts w:cs="Times"/>
        </w:rPr>
        <w:fldChar w:fldCharType="begin"/>
      </w:r>
      <w:r>
        <w:rPr>
          <w:rFonts w:cs="Times"/>
        </w:rPr>
        <w:instrText xml:space="preserve"> NOTEREF _Ref304631077 \h </w:instrText>
      </w:r>
      <w:r>
        <w:rPr>
          <w:rFonts w:cs="Times"/>
        </w:rPr>
      </w:r>
      <w:r>
        <w:rPr>
          <w:rFonts w:cs="Times"/>
        </w:rPr>
        <w:fldChar w:fldCharType="separate"/>
      </w:r>
      <w:r w:rsidR="00EF4990">
        <w:rPr>
          <w:rFonts w:cs="Times"/>
        </w:rPr>
        <w:t>77</w:t>
      </w:r>
      <w:r>
        <w:rPr>
          <w:rFonts w:cs="Times"/>
        </w:rPr>
        <w:fldChar w:fldCharType="end"/>
      </w:r>
      <w:r>
        <w:t>.</w:t>
      </w:r>
    </w:p>
  </w:footnote>
  <w:footnote w:id="57">
    <w:p w14:paraId="2DDFB921" w14:textId="0F646355" w:rsidR="0012014D" w:rsidRDefault="0012014D">
      <w:pPr>
        <w:pStyle w:val="FootnoteText"/>
      </w:pPr>
      <w:r>
        <w:rPr>
          <w:rStyle w:val="FootnoteReference"/>
        </w:rPr>
        <w:footnoteRef/>
      </w:r>
      <w:r>
        <w:t xml:space="preserve"> </w:t>
      </w:r>
      <w:r w:rsidRPr="002F277F">
        <w:rPr>
          <w:smallCaps/>
        </w:rPr>
        <w:t>H.R. Rep. No.</w:t>
      </w:r>
      <w:r>
        <w:t xml:space="preserve"> 106-464, at 133 (1999).</w:t>
      </w:r>
    </w:p>
  </w:footnote>
  <w:footnote w:id="58">
    <w:p w14:paraId="6E2D25C6" w14:textId="49332210" w:rsidR="0012014D" w:rsidRPr="00DF14C2" w:rsidRDefault="0012014D">
      <w:pPr>
        <w:pStyle w:val="FootnoteText"/>
      </w:pPr>
      <w:r>
        <w:rPr>
          <w:rStyle w:val="FootnoteReference"/>
        </w:rPr>
        <w:footnoteRef/>
      </w:r>
      <w:r>
        <w:t xml:space="preserve"> 35 U.S.C. § 314(b</w:t>
      </w:r>
      <w:proofErr w:type="gramStart"/>
      <w:r>
        <w:t>)(</w:t>
      </w:r>
      <w:proofErr w:type="gramEnd"/>
      <w:r>
        <w:t xml:space="preserve">2) (2006), </w:t>
      </w:r>
      <w:r>
        <w:rPr>
          <w:i/>
        </w:rPr>
        <w:t>repealed by</w:t>
      </w:r>
      <w:r>
        <w:t xml:space="preserve"> America Invents Act § 6. </w:t>
      </w:r>
    </w:p>
  </w:footnote>
  <w:footnote w:id="59">
    <w:p w14:paraId="3A3B30E4" w14:textId="4BC44847" w:rsidR="0012014D" w:rsidRPr="003B56AB" w:rsidRDefault="0012014D" w:rsidP="007A640E">
      <w:pPr>
        <w:pStyle w:val="FootnoteText"/>
      </w:pPr>
      <w:r>
        <w:rPr>
          <w:rStyle w:val="FootnoteReference"/>
        </w:rPr>
        <w:footnoteRef/>
      </w:r>
      <w:r>
        <w:t xml:space="preserve"> </w:t>
      </w:r>
      <w:r>
        <w:rPr>
          <w:i/>
        </w:rPr>
        <w:t xml:space="preserve">See </w:t>
      </w:r>
      <w:r w:rsidRPr="00A073CA">
        <w:rPr>
          <w:smallCaps/>
        </w:rPr>
        <w:t>Kimberly A. Moore, Timothy R. Holbrook &amp; John F. Murphy, Patent Litigation and Strategy</w:t>
      </w:r>
      <w:r>
        <w:t xml:space="preserve"> 1132-33 (4th ed. 2013); </w:t>
      </w:r>
      <w:r>
        <w:rPr>
          <w:i/>
        </w:rPr>
        <w:t xml:space="preserve">see also </w:t>
      </w:r>
      <w:r>
        <w:t xml:space="preserve">35 U.S.C. § 315(c) (2006) (providing that, if the PTO initiated inter </w:t>
      </w:r>
      <w:proofErr w:type="spellStart"/>
      <w:r>
        <w:t>partes</w:t>
      </w:r>
      <w:proofErr w:type="spellEnd"/>
      <w:r>
        <w:t xml:space="preserve"> reexamination and confirmed the claims’ validity, the requester was precluded in litigation from raising any ground for invalidity that the requester “raised or could have raised” during reexamination), </w:t>
      </w:r>
      <w:r>
        <w:rPr>
          <w:i/>
        </w:rPr>
        <w:t xml:space="preserve">repealed by </w:t>
      </w:r>
      <w:r>
        <w:t>America Invents Act § 6.</w:t>
      </w:r>
    </w:p>
  </w:footnote>
  <w:footnote w:id="60">
    <w:p w14:paraId="16F4A578" w14:textId="1E4C88D1" w:rsidR="0012014D" w:rsidRPr="007A640E" w:rsidRDefault="0012014D">
      <w:pPr>
        <w:pStyle w:val="FootnoteText"/>
      </w:pPr>
      <w:r>
        <w:rPr>
          <w:rStyle w:val="FootnoteReference"/>
        </w:rPr>
        <w:footnoteRef/>
      </w:r>
      <w:r>
        <w:t xml:space="preserve"> </w:t>
      </w:r>
      <w:r>
        <w:rPr>
          <w:i/>
        </w:rPr>
        <w:t>But see infra</w:t>
      </w:r>
      <w:r>
        <w:t xml:space="preserve"> text accompanying notes </w:t>
      </w:r>
      <w:r>
        <w:fldChar w:fldCharType="begin"/>
      </w:r>
      <w:r>
        <w:instrText xml:space="preserve"> NOTEREF _Ref429128749 \h </w:instrText>
      </w:r>
      <w:r>
        <w:fldChar w:fldCharType="separate"/>
      </w:r>
      <w:r w:rsidR="00EF4990">
        <w:t>124</w:t>
      </w:r>
      <w:r>
        <w:fldChar w:fldCharType="end"/>
      </w:r>
      <w:r>
        <w:t>-</w:t>
      </w:r>
      <w:r>
        <w:fldChar w:fldCharType="begin"/>
      </w:r>
      <w:r>
        <w:instrText xml:space="preserve"> NOTEREF _Ref429128762 \h </w:instrText>
      </w:r>
      <w:r>
        <w:fldChar w:fldCharType="separate"/>
      </w:r>
      <w:r w:rsidR="00EF4990">
        <w:t>125</w:t>
      </w:r>
      <w:r>
        <w:fldChar w:fldCharType="end"/>
      </w:r>
      <w:r>
        <w:t xml:space="preserve"> (discussing the deference courts sometimes give to ex parte reexamination decisions by the PTO).</w:t>
      </w:r>
    </w:p>
  </w:footnote>
  <w:footnote w:id="61">
    <w:p w14:paraId="64154EEE" w14:textId="783BA5B1" w:rsidR="0012014D" w:rsidRDefault="0012014D">
      <w:pPr>
        <w:pStyle w:val="FootnoteText"/>
      </w:pPr>
      <w:r>
        <w:rPr>
          <w:rStyle w:val="FootnoteReference"/>
        </w:rPr>
        <w:footnoteRef/>
      </w:r>
      <w:r>
        <w:t xml:space="preserve"> </w:t>
      </w:r>
      <w:r w:rsidRPr="0060739F">
        <w:rPr>
          <w:smallCaps/>
        </w:rPr>
        <w:t xml:space="preserve">U.S. Patent &amp; Trademark Off., </w:t>
      </w:r>
      <w:r>
        <w:rPr>
          <w:smallCaps/>
        </w:rPr>
        <w:t>Inter</w:t>
      </w:r>
      <w:r w:rsidRPr="0060739F">
        <w:rPr>
          <w:smallCaps/>
        </w:rPr>
        <w:t xml:space="preserve"> </w:t>
      </w:r>
      <w:proofErr w:type="spellStart"/>
      <w:r w:rsidRPr="0060739F">
        <w:rPr>
          <w:smallCaps/>
        </w:rPr>
        <w:t>Parte</w:t>
      </w:r>
      <w:r>
        <w:rPr>
          <w:smallCaps/>
        </w:rPr>
        <w:t>s</w:t>
      </w:r>
      <w:proofErr w:type="spellEnd"/>
      <w:r w:rsidRPr="0060739F">
        <w:rPr>
          <w:smallCaps/>
        </w:rPr>
        <w:t xml:space="preserve"> Reexamination Filing Data</w:t>
      </w:r>
      <w:r>
        <w:t xml:space="preserve"> 1 (Sept. 30, 2013) [hereinafter </w:t>
      </w:r>
      <w:r w:rsidRPr="00E82FBD">
        <w:rPr>
          <w:smallCaps/>
        </w:rPr>
        <w:t xml:space="preserve">Inter </w:t>
      </w:r>
      <w:proofErr w:type="spellStart"/>
      <w:r w:rsidRPr="00E82FBD">
        <w:rPr>
          <w:smallCaps/>
        </w:rPr>
        <w:t>Partes</w:t>
      </w:r>
      <w:proofErr w:type="spellEnd"/>
      <w:r w:rsidRPr="00E82FBD">
        <w:rPr>
          <w:smallCaps/>
        </w:rPr>
        <w:t xml:space="preserve"> Reexamination Filing Data</w:t>
      </w:r>
      <w:r>
        <w:t xml:space="preserve">], </w:t>
      </w:r>
      <w:r>
        <w:rPr>
          <w:i/>
        </w:rPr>
        <w:t>available at</w:t>
      </w:r>
      <w:r>
        <w:t xml:space="preserve"> </w:t>
      </w:r>
      <w:r w:rsidRPr="002F277F">
        <w:t>http://www.uspto.gov/patents/stats/inter_parte_historical_stats_roll_up_</w:t>
      </w:r>
      <w:r>
        <w:t xml:space="preserve"> </w:t>
      </w:r>
      <w:r w:rsidRPr="00805E1F">
        <w:t>EOY2013.pdf</w:t>
      </w:r>
      <w:r>
        <w:t xml:space="preserve">.  </w:t>
      </w:r>
    </w:p>
  </w:footnote>
  <w:footnote w:id="62">
    <w:p w14:paraId="77895B6A" w14:textId="0E9A50ED" w:rsidR="0012014D" w:rsidRDefault="0012014D">
      <w:pPr>
        <w:pStyle w:val="FootnoteText"/>
      </w:pPr>
      <w:r>
        <w:rPr>
          <w:rStyle w:val="FootnoteReference"/>
        </w:rPr>
        <w:footnoteRef/>
      </w:r>
      <w:r>
        <w:t xml:space="preserve"> 35 U.S.C. §§ 311(a), 321(a); </w:t>
      </w:r>
      <w:r w:rsidRPr="004A4341">
        <w:t>37 C.F.R. § 42.300</w:t>
      </w:r>
      <w:r>
        <w:t xml:space="preserve">(a).  For a succinct overview of the three new proceedings, see Thomas King &amp; Jeffrey A. Wolfson, </w:t>
      </w:r>
      <w:r>
        <w:rPr>
          <w:i/>
        </w:rPr>
        <w:t>PTAB:  Rearranging the Face of Patent Litigation</w:t>
      </w:r>
      <w:r>
        <w:t xml:space="preserve">, </w:t>
      </w:r>
      <w:r w:rsidRPr="004801D2">
        <w:rPr>
          <w:smallCaps/>
        </w:rPr>
        <w:t>Landslide</w:t>
      </w:r>
      <w:r>
        <w:t>, Nov./Dec. 2013, at 19.</w:t>
      </w:r>
    </w:p>
  </w:footnote>
  <w:footnote w:id="63">
    <w:p w14:paraId="0311B3FE" w14:textId="0191A592" w:rsidR="0012014D" w:rsidRDefault="0012014D">
      <w:pPr>
        <w:pStyle w:val="FootnoteText"/>
      </w:pPr>
      <w:r>
        <w:rPr>
          <w:rStyle w:val="FootnoteReference"/>
        </w:rPr>
        <w:footnoteRef/>
      </w:r>
      <w:r>
        <w:t xml:space="preserve"> </w:t>
      </w:r>
      <w:r>
        <w:rPr>
          <w:i/>
        </w:rPr>
        <w:t xml:space="preserve">See </w:t>
      </w:r>
      <w:r>
        <w:t>35 U.S.C. § 6(b)-(c).</w:t>
      </w:r>
    </w:p>
  </w:footnote>
  <w:footnote w:id="64">
    <w:p w14:paraId="6D8A26DE" w14:textId="757BA91B" w:rsidR="0012014D" w:rsidRPr="0013636F" w:rsidRDefault="0012014D">
      <w:pPr>
        <w:pStyle w:val="FootnoteText"/>
      </w:pPr>
      <w:r>
        <w:rPr>
          <w:rStyle w:val="FootnoteReference"/>
        </w:rPr>
        <w:footnoteRef/>
      </w:r>
      <w:r>
        <w:t xml:space="preserve"> </w:t>
      </w:r>
      <w:r>
        <w:rPr>
          <w:i/>
        </w:rPr>
        <w:t>See</w:t>
      </w:r>
      <w:r>
        <w:t xml:space="preserve"> </w:t>
      </w:r>
      <w:r>
        <w:rPr>
          <w:i/>
        </w:rPr>
        <w:t>id.</w:t>
      </w:r>
      <w:r>
        <w:t xml:space="preserve"> §§ 316(a), 326(a).</w:t>
      </w:r>
    </w:p>
  </w:footnote>
  <w:footnote w:id="65">
    <w:p w14:paraId="61261BF1" w14:textId="6EFB5DA7" w:rsidR="0012014D" w:rsidRPr="00DF5602" w:rsidRDefault="0012014D">
      <w:pPr>
        <w:pStyle w:val="FootnoteText"/>
      </w:pPr>
      <w:r>
        <w:rPr>
          <w:rStyle w:val="FootnoteReference"/>
        </w:rPr>
        <w:footnoteRef/>
      </w:r>
      <w:r>
        <w:t xml:space="preserve"> </w:t>
      </w:r>
      <w:r>
        <w:rPr>
          <w:i/>
        </w:rPr>
        <w:t>See infra</w:t>
      </w:r>
      <w:r>
        <w:t xml:space="preserve"> Part IV.A.</w:t>
      </w:r>
    </w:p>
  </w:footnote>
  <w:footnote w:id="66">
    <w:p w14:paraId="29EFBE56" w14:textId="5A3EFF6D" w:rsidR="0012014D" w:rsidRDefault="0012014D">
      <w:pPr>
        <w:pStyle w:val="FootnoteText"/>
      </w:pPr>
      <w:r>
        <w:rPr>
          <w:rStyle w:val="FootnoteReference"/>
        </w:rPr>
        <w:footnoteRef/>
      </w:r>
      <w:r>
        <w:t xml:space="preserve"> </w:t>
      </w:r>
      <w:r w:rsidRPr="004C3F91">
        <w:rPr>
          <w:rFonts w:cs="Times"/>
        </w:rPr>
        <w:t xml:space="preserve">America Invents Act, Pub. L. No. 112-29, </w:t>
      </w:r>
      <w:r>
        <w:rPr>
          <w:rFonts w:cs="Times"/>
        </w:rPr>
        <w:t>§ 6(f</w:t>
      </w:r>
      <w:proofErr w:type="gramStart"/>
      <w:r>
        <w:rPr>
          <w:rFonts w:cs="Times"/>
        </w:rPr>
        <w:t>)(</w:t>
      </w:r>
      <w:proofErr w:type="gramEnd"/>
      <w:r>
        <w:rPr>
          <w:rFonts w:cs="Times"/>
        </w:rPr>
        <w:t xml:space="preserve">2)(A), </w:t>
      </w:r>
      <w:r w:rsidRPr="004C3F91">
        <w:rPr>
          <w:rFonts w:cs="Times"/>
        </w:rPr>
        <w:t>125 Stat. 284</w:t>
      </w:r>
      <w:r>
        <w:rPr>
          <w:rFonts w:cs="Times"/>
        </w:rPr>
        <w:t xml:space="preserve">, 311 </w:t>
      </w:r>
      <w:r w:rsidRPr="004C3F91">
        <w:rPr>
          <w:rFonts w:cs="Times"/>
        </w:rPr>
        <w:t>(2011)</w:t>
      </w:r>
      <w:r>
        <w:t>.</w:t>
      </w:r>
    </w:p>
  </w:footnote>
  <w:footnote w:id="67">
    <w:p w14:paraId="092831D7" w14:textId="1E35A020" w:rsidR="0012014D" w:rsidRDefault="0012014D">
      <w:pPr>
        <w:pStyle w:val="FootnoteText"/>
      </w:pPr>
      <w:r>
        <w:rPr>
          <w:rStyle w:val="FootnoteReference"/>
        </w:rPr>
        <w:footnoteRef/>
      </w:r>
      <w:r>
        <w:t xml:space="preserve"> 35 U.S.C. § 321(c).  </w:t>
      </w:r>
    </w:p>
  </w:footnote>
  <w:footnote w:id="68">
    <w:p w14:paraId="30419886" w14:textId="1C4C4AE2" w:rsidR="0012014D" w:rsidRDefault="0012014D">
      <w:pPr>
        <w:pStyle w:val="FootnoteText"/>
      </w:pPr>
      <w:r>
        <w:rPr>
          <w:rStyle w:val="FootnoteReference"/>
        </w:rPr>
        <w:footnoteRef/>
      </w:r>
      <w:r>
        <w:t xml:space="preserve"> </w:t>
      </w:r>
      <w:r w:rsidRPr="00C75064">
        <w:rPr>
          <w:i/>
        </w:rPr>
        <w:t>Id.</w:t>
      </w:r>
      <w:r>
        <w:t xml:space="preserve"> § 321(b).</w:t>
      </w:r>
    </w:p>
  </w:footnote>
  <w:footnote w:id="69">
    <w:p w14:paraId="38A2B875" w14:textId="51B7AB51" w:rsidR="0012014D" w:rsidRDefault="0012014D">
      <w:pPr>
        <w:pStyle w:val="FootnoteText"/>
      </w:pPr>
      <w:r>
        <w:rPr>
          <w:rStyle w:val="FootnoteReference"/>
        </w:rPr>
        <w:footnoteRef/>
      </w:r>
      <w:r>
        <w:t xml:space="preserve"> </w:t>
      </w:r>
      <w:r w:rsidRPr="00E46853">
        <w:rPr>
          <w:i/>
        </w:rPr>
        <w:t>Id.</w:t>
      </w:r>
      <w:r>
        <w:t xml:space="preserve"> § 324(a).</w:t>
      </w:r>
    </w:p>
  </w:footnote>
  <w:footnote w:id="70">
    <w:p w14:paraId="7F1B8CA9" w14:textId="423EE9B1" w:rsidR="0012014D" w:rsidRDefault="0012014D">
      <w:pPr>
        <w:pStyle w:val="FootnoteText"/>
      </w:pPr>
      <w:r>
        <w:rPr>
          <w:rStyle w:val="FootnoteReference"/>
        </w:rPr>
        <w:footnoteRef/>
      </w:r>
      <w:r>
        <w:t xml:space="preserve"> </w:t>
      </w:r>
      <w:r w:rsidRPr="004D689C">
        <w:rPr>
          <w:i/>
        </w:rPr>
        <w:t>See</w:t>
      </w:r>
      <w:r>
        <w:t xml:space="preserve"> </w:t>
      </w:r>
      <w:r w:rsidRPr="009C2DE5">
        <w:rPr>
          <w:smallCaps/>
        </w:rPr>
        <w:t>U.S. Patent &amp; Trademark Off</w:t>
      </w:r>
      <w:r>
        <w:rPr>
          <w:smallCaps/>
        </w:rPr>
        <w:t>.,</w:t>
      </w:r>
      <w:r w:rsidRPr="004D689C">
        <w:rPr>
          <w:smallCaps/>
        </w:rPr>
        <w:t xml:space="preserve"> </w:t>
      </w:r>
      <w:r>
        <w:rPr>
          <w:smallCaps/>
        </w:rPr>
        <w:t>Patent Trial &amp; Appeal Bd.</w:t>
      </w:r>
      <w:r w:rsidRPr="004D689C">
        <w:rPr>
          <w:smallCaps/>
        </w:rPr>
        <w:t>, Statistics</w:t>
      </w:r>
      <w:r>
        <w:t xml:space="preserve"> 1 (Aug. 31, 2015) [hereinafter </w:t>
      </w:r>
      <w:r w:rsidRPr="00F31639">
        <w:rPr>
          <w:smallCaps/>
        </w:rPr>
        <w:t>PTAB Statistics</w:t>
      </w:r>
      <w:r>
        <w:t xml:space="preserve">], </w:t>
      </w:r>
      <w:r w:rsidRPr="004D689C">
        <w:rPr>
          <w:i/>
        </w:rPr>
        <w:t>available at</w:t>
      </w:r>
      <w:r>
        <w:t xml:space="preserve"> </w:t>
      </w:r>
      <w:r w:rsidRPr="00F31639">
        <w:t xml:space="preserve">http://www.uspto.gov/sites/default/files/documents/2015-08-31%20PTAB.pdf </w:t>
      </w:r>
      <w:r>
        <w:t>(reporting that thirteen petitions have been filed).</w:t>
      </w:r>
    </w:p>
  </w:footnote>
  <w:footnote w:id="71">
    <w:p w14:paraId="013789CC" w14:textId="59CA8BEC" w:rsidR="0012014D" w:rsidRPr="0085219E" w:rsidRDefault="0012014D">
      <w:pPr>
        <w:pStyle w:val="FootnoteText"/>
      </w:pPr>
      <w:r>
        <w:rPr>
          <w:rStyle w:val="FootnoteReference"/>
        </w:rPr>
        <w:footnoteRef/>
      </w:r>
      <w:r>
        <w:t xml:space="preserve"> In 2014, the PTO received 1310 petitions for inter </w:t>
      </w:r>
      <w:proofErr w:type="spellStart"/>
      <w:r>
        <w:t>partes</w:t>
      </w:r>
      <w:proofErr w:type="spellEnd"/>
      <w:r>
        <w:t xml:space="preserve"> review, 343 requests for ex parte reexamination, 177 petitions for covered business method review (another new AIA proceeding discussed below), and two petitions for post-grant review, for a total of 1832.  </w:t>
      </w:r>
      <w:r>
        <w:rPr>
          <w:i/>
        </w:rPr>
        <w:t xml:space="preserve">See </w:t>
      </w:r>
      <w:r w:rsidRPr="00C75064">
        <w:rPr>
          <w:i/>
        </w:rPr>
        <w:t>id.</w:t>
      </w:r>
      <w:r>
        <w:t xml:space="preserve">; </w:t>
      </w:r>
      <w:r w:rsidRPr="007A3768">
        <w:rPr>
          <w:smallCaps/>
        </w:rPr>
        <w:t>Ex Parte Reexamination Filing Data</w:t>
      </w:r>
      <w:r>
        <w:t xml:space="preserve">, </w:t>
      </w:r>
      <w:r>
        <w:rPr>
          <w:i/>
        </w:rPr>
        <w:t>supra</w:t>
      </w:r>
      <w:r>
        <w:t xml:space="preserve"> note </w:t>
      </w:r>
      <w:r>
        <w:fldChar w:fldCharType="begin"/>
      </w:r>
      <w:r>
        <w:instrText xml:space="preserve"> NOTEREF _Ref300404028 \h </w:instrText>
      </w:r>
      <w:r>
        <w:fldChar w:fldCharType="separate"/>
      </w:r>
      <w:r w:rsidR="00EF4990">
        <w:t>48</w:t>
      </w:r>
      <w:r>
        <w:fldChar w:fldCharType="end"/>
      </w:r>
      <w:r>
        <w:t xml:space="preserve">, at 1.  By comparison, in 2011 (the final year before the America Invents Act took effect), the PTO received 759 petitions for ex parte reexamination and 374 petitions for inter </w:t>
      </w:r>
      <w:proofErr w:type="spellStart"/>
      <w:r>
        <w:t>partes</w:t>
      </w:r>
      <w:proofErr w:type="spellEnd"/>
      <w:r>
        <w:t xml:space="preserve"> reexamination, for a total of 1133.  </w:t>
      </w:r>
      <w:r>
        <w:rPr>
          <w:i/>
        </w:rPr>
        <w:t xml:space="preserve">See </w:t>
      </w:r>
      <w:r w:rsidRPr="007A3768">
        <w:rPr>
          <w:smallCaps/>
        </w:rPr>
        <w:t>Ex Parte Reexamination Filing Data</w:t>
      </w:r>
      <w:r>
        <w:t xml:space="preserve">, </w:t>
      </w:r>
      <w:r>
        <w:rPr>
          <w:i/>
        </w:rPr>
        <w:t>supra</w:t>
      </w:r>
      <w:r>
        <w:t xml:space="preserve"> note </w:t>
      </w:r>
      <w:r>
        <w:fldChar w:fldCharType="begin"/>
      </w:r>
      <w:r>
        <w:instrText xml:space="preserve"> NOTEREF _Ref300404028 \h </w:instrText>
      </w:r>
      <w:r>
        <w:fldChar w:fldCharType="separate"/>
      </w:r>
      <w:r w:rsidR="00EF4990">
        <w:t>48</w:t>
      </w:r>
      <w:r>
        <w:fldChar w:fldCharType="end"/>
      </w:r>
      <w:r>
        <w:t xml:space="preserve">, at 1; </w:t>
      </w:r>
      <w:r w:rsidRPr="0085219E">
        <w:rPr>
          <w:smallCaps/>
        </w:rPr>
        <w:t xml:space="preserve">Inter </w:t>
      </w:r>
      <w:proofErr w:type="spellStart"/>
      <w:r w:rsidRPr="0085219E">
        <w:rPr>
          <w:smallCaps/>
        </w:rPr>
        <w:t>Partes</w:t>
      </w:r>
      <w:proofErr w:type="spellEnd"/>
      <w:r w:rsidRPr="0085219E">
        <w:rPr>
          <w:smallCaps/>
        </w:rPr>
        <w:t xml:space="preserve"> Reexamination Filing Data</w:t>
      </w:r>
      <w:r>
        <w:t xml:space="preserve">, </w:t>
      </w:r>
      <w:r>
        <w:rPr>
          <w:i/>
        </w:rPr>
        <w:t>supra</w:t>
      </w:r>
      <w:r>
        <w:t xml:space="preserve"> note </w:t>
      </w:r>
      <w:r>
        <w:fldChar w:fldCharType="begin"/>
      </w:r>
      <w:r>
        <w:instrText xml:space="preserve"> NOTEREF _Ref300404206 \h </w:instrText>
      </w:r>
      <w:r>
        <w:fldChar w:fldCharType="separate"/>
      </w:r>
      <w:r w:rsidR="00EF4990">
        <w:t>60</w:t>
      </w:r>
      <w:r>
        <w:fldChar w:fldCharType="end"/>
      </w:r>
      <w:r>
        <w:t>, at 1.</w:t>
      </w:r>
    </w:p>
  </w:footnote>
  <w:footnote w:id="72">
    <w:p w14:paraId="414B04B4" w14:textId="720C1E6F" w:rsidR="0012014D" w:rsidRPr="00856755" w:rsidRDefault="0012014D">
      <w:pPr>
        <w:pStyle w:val="FootnoteText"/>
      </w:pPr>
      <w:r>
        <w:rPr>
          <w:rStyle w:val="FootnoteReference"/>
        </w:rPr>
        <w:footnoteRef/>
      </w:r>
      <w:r>
        <w:t xml:space="preserve"> 35 U.S.C. § 311(c).</w:t>
      </w:r>
    </w:p>
  </w:footnote>
  <w:footnote w:id="73">
    <w:p w14:paraId="1B3ADF90" w14:textId="2C5CBD70" w:rsidR="0012014D" w:rsidRDefault="0012014D">
      <w:pPr>
        <w:pStyle w:val="FootnoteText"/>
      </w:pPr>
      <w:r>
        <w:rPr>
          <w:rStyle w:val="FootnoteReference"/>
        </w:rPr>
        <w:footnoteRef/>
      </w:r>
      <w:r>
        <w:t xml:space="preserve"> </w:t>
      </w:r>
      <w:r>
        <w:rPr>
          <w:i/>
        </w:rPr>
        <w:t>Id.</w:t>
      </w:r>
      <w:r>
        <w:t xml:space="preserve"> § 311(b).</w:t>
      </w:r>
    </w:p>
  </w:footnote>
  <w:footnote w:id="74">
    <w:p w14:paraId="0A585FBF" w14:textId="3D9F6D0B" w:rsidR="0012014D" w:rsidRPr="009E2D4C" w:rsidRDefault="0012014D" w:rsidP="009E2D4C">
      <w:pPr>
        <w:pStyle w:val="FootnoteText"/>
      </w:pPr>
      <w:r>
        <w:rPr>
          <w:rStyle w:val="FootnoteReference"/>
        </w:rPr>
        <w:footnoteRef/>
      </w:r>
      <w:r>
        <w:t xml:space="preserve"> </w:t>
      </w:r>
      <w:r>
        <w:rPr>
          <w:i/>
        </w:rPr>
        <w:t>Id.</w:t>
      </w:r>
      <w:r>
        <w:t xml:space="preserve">  A finding that a patent is anticipated means that the patent lacks the novelty required by § 102 of the Patent Act.  Although aspects of the analysis under § 102 can be complicated, </w:t>
      </w:r>
      <w:r>
        <w:rPr>
          <w:i/>
        </w:rPr>
        <w:t>see, e.g.</w:t>
      </w:r>
      <w:r>
        <w:t xml:space="preserve">, Mark A. </w:t>
      </w:r>
      <w:proofErr w:type="spellStart"/>
      <w:r>
        <w:t>Lemley</w:t>
      </w:r>
      <w:proofErr w:type="spellEnd"/>
      <w:r>
        <w:t>, Essay,</w:t>
      </w:r>
      <w:r>
        <w:rPr>
          <w:i/>
        </w:rPr>
        <w:t xml:space="preserve"> </w:t>
      </w:r>
      <w:r w:rsidRPr="009E2D4C">
        <w:rPr>
          <w:i/>
        </w:rPr>
        <w:t>Does “Public Use” Mean the Same Thing It</w:t>
      </w:r>
      <w:r>
        <w:rPr>
          <w:i/>
        </w:rPr>
        <w:t xml:space="preserve"> </w:t>
      </w:r>
      <w:r w:rsidRPr="009E2D4C">
        <w:rPr>
          <w:i/>
        </w:rPr>
        <w:t>Did Last Year</w:t>
      </w:r>
      <w:proofErr w:type="gramStart"/>
      <w:r w:rsidRPr="009E2D4C">
        <w:rPr>
          <w:i/>
        </w:rPr>
        <w:t>?</w:t>
      </w:r>
      <w:r>
        <w:t>,</w:t>
      </w:r>
      <w:proofErr w:type="gramEnd"/>
      <w:r>
        <w:t xml:space="preserve"> 93 </w:t>
      </w:r>
      <w:r w:rsidRPr="009E2D4C">
        <w:rPr>
          <w:smallCaps/>
        </w:rPr>
        <w:t>Tex. L. Rev.</w:t>
      </w:r>
      <w:r>
        <w:t xml:space="preserve"> 1119, 1119-20 (2015), a finding of anticipation basically means that the claimed invention is identically disclosed in the prior art.  A finding of obviousness, by contrast, is a finding that the invention, although not identically disclosed, would have been obvious to make based on the prior art and as judged from the perspective of a person with ordinary skill in the art.  </w:t>
      </w:r>
      <w:r>
        <w:rPr>
          <w:i/>
        </w:rPr>
        <w:t xml:space="preserve">See </w:t>
      </w:r>
      <w:r>
        <w:t>35 U.S.C. § 103.</w:t>
      </w:r>
    </w:p>
  </w:footnote>
  <w:footnote w:id="75">
    <w:p w14:paraId="52F0593B" w14:textId="0F46AFDB" w:rsidR="0012014D" w:rsidRPr="0029224B" w:rsidRDefault="0012014D">
      <w:pPr>
        <w:pStyle w:val="FootnoteText"/>
      </w:pPr>
      <w:r>
        <w:rPr>
          <w:rStyle w:val="FootnoteReference"/>
        </w:rPr>
        <w:footnoteRef/>
      </w:r>
      <w:r>
        <w:t xml:space="preserve"> 35 U.S.C. § 315(b).</w:t>
      </w:r>
    </w:p>
  </w:footnote>
  <w:footnote w:id="76">
    <w:p w14:paraId="16A92FA7" w14:textId="4211A65C" w:rsidR="0012014D" w:rsidRPr="00F47A90" w:rsidRDefault="0012014D">
      <w:pPr>
        <w:pStyle w:val="FootnoteText"/>
      </w:pPr>
      <w:r>
        <w:rPr>
          <w:rStyle w:val="FootnoteReference"/>
        </w:rPr>
        <w:footnoteRef/>
      </w:r>
      <w:r>
        <w:t xml:space="preserve"> </w:t>
      </w:r>
      <w:r>
        <w:rPr>
          <w:i/>
        </w:rPr>
        <w:t>Id.</w:t>
      </w:r>
      <w:r>
        <w:t xml:space="preserve"> § 314(a).</w:t>
      </w:r>
    </w:p>
  </w:footnote>
  <w:footnote w:id="77">
    <w:p w14:paraId="46706321" w14:textId="328FF241" w:rsidR="0012014D" w:rsidRPr="0095748C" w:rsidRDefault="0012014D">
      <w:pPr>
        <w:pStyle w:val="FootnoteText"/>
      </w:pPr>
      <w:r>
        <w:rPr>
          <w:rStyle w:val="FootnoteReference"/>
        </w:rPr>
        <w:footnoteRef/>
      </w:r>
      <w:r>
        <w:t xml:space="preserve"> </w:t>
      </w:r>
      <w:r w:rsidRPr="009C2DE5">
        <w:rPr>
          <w:smallCaps/>
        </w:rPr>
        <w:t>PTAB Statistics</w:t>
      </w:r>
      <w:r>
        <w:t xml:space="preserve">, </w:t>
      </w:r>
      <w:r w:rsidRPr="00F31639">
        <w:rPr>
          <w:i/>
        </w:rPr>
        <w:t>supra</w:t>
      </w:r>
      <w:r>
        <w:t xml:space="preserve"> note </w:t>
      </w:r>
      <w:r>
        <w:fldChar w:fldCharType="begin"/>
      </w:r>
      <w:r>
        <w:instrText xml:space="preserve"> NOTEREF _Ref431200469 \h </w:instrText>
      </w:r>
      <w:r>
        <w:fldChar w:fldCharType="separate"/>
      </w:r>
      <w:r w:rsidR="00EF4990">
        <w:t>69</w:t>
      </w:r>
      <w:r>
        <w:fldChar w:fldCharType="end"/>
      </w:r>
      <w:r>
        <w:t xml:space="preserve">, at 8-9.   </w:t>
      </w:r>
    </w:p>
  </w:footnote>
  <w:footnote w:id="78">
    <w:p w14:paraId="79761E39" w14:textId="7C49E931" w:rsidR="0012014D" w:rsidRPr="0095748C" w:rsidRDefault="0012014D">
      <w:pPr>
        <w:pStyle w:val="FootnoteText"/>
      </w:pPr>
      <w:r>
        <w:rPr>
          <w:rStyle w:val="FootnoteReference"/>
        </w:rPr>
        <w:footnoteRef/>
      </w:r>
      <w:r>
        <w:t xml:space="preserve"> </w:t>
      </w:r>
      <w:r>
        <w:rPr>
          <w:i/>
        </w:rPr>
        <w:t>Id.</w:t>
      </w:r>
      <w:r>
        <w:t xml:space="preserve"> at 9.</w:t>
      </w:r>
    </w:p>
  </w:footnote>
  <w:footnote w:id="79">
    <w:p w14:paraId="181FBA5C" w14:textId="0EAEDAC4" w:rsidR="0012014D" w:rsidRDefault="0012014D">
      <w:pPr>
        <w:pStyle w:val="FootnoteText"/>
      </w:pPr>
      <w:r>
        <w:rPr>
          <w:rStyle w:val="FootnoteReference"/>
        </w:rPr>
        <w:footnoteRef/>
      </w:r>
      <w:r>
        <w:t xml:space="preserve"> </w:t>
      </w:r>
      <w:r w:rsidRPr="004C3F91">
        <w:rPr>
          <w:rFonts w:cs="Times"/>
        </w:rPr>
        <w:t xml:space="preserve">America Invents Act, Pub. L. No. 112-29, </w:t>
      </w:r>
      <w:r>
        <w:rPr>
          <w:rFonts w:cs="Times"/>
        </w:rPr>
        <w:t>§ 18(d</w:t>
      </w:r>
      <w:proofErr w:type="gramStart"/>
      <w:r>
        <w:rPr>
          <w:rFonts w:cs="Times"/>
        </w:rPr>
        <w:t>)(</w:t>
      </w:r>
      <w:proofErr w:type="gramEnd"/>
      <w:r>
        <w:rPr>
          <w:rFonts w:cs="Times"/>
        </w:rPr>
        <w:t xml:space="preserve">1), </w:t>
      </w:r>
      <w:r w:rsidRPr="004C3F91">
        <w:rPr>
          <w:rFonts w:cs="Times"/>
        </w:rPr>
        <w:t>125 Stat. 284</w:t>
      </w:r>
      <w:r>
        <w:rPr>
          <w:rFonts w:cs="Times"/>
        </w:rPr>
        <w:t>, 331</w:t>
      </w:r>
      <w:r w:rsidRPr="004C3F91">
        <w:rPr>
          <w:rFonts w:cs="Times"/>
        </w:rPr>
        <w:t xml:space="preserve"> (2011)</w:t>
      </w:r>
      <w:r>
        <w:rPr>
          <w:rFonts w:cs="Times"/>
        </w:rPr>
        <w:t>.</w:t>
      </w:r>
    </w:p>
  </w:footnote>
  <w:footnote w:id="80">
    <w:p w14:paraId="40DDDAC2" w14:textId="19436975" w:rsidR="0012014D" w:rsidRDefault="0012014D">
      <w:pPr>
        <w:pStyle w:val="FootnoteText"/>
      </w:pPr>
      <w:r>
        <w:rPr>
          <w:rStyle w:val="FootnoteReference"/>
        </w:rPr>
        <w:footnoteRef/>
      </w:r>
      <w:r>
        <w:t xml:space="preserve"> </w:t>
      </w:r>
      <w:r w:rsidRPr="008B0727">
        <w:rPr>
          <w:smallCaps/>
        </w:rPr>
        <w:t>H.R. Rep. No.</w:t>
      </w:r>
      <w:r>
        <w:t xml:space="preserve"> 112-98, at 54 (2011).</w:t>
      </w:r>
    </w:p>
  </w:footnote>
  <w:footnote w:id="81">
    <w:p w14:paraId="28E9C3A7" w14:textId="1AAD7EAE" w:rsidR="0012014D" w:rsidRDefault="0012014D">
      <w:pPr>
        <w:pStyle w:val="FootnoteText"/>
      </w:pPr>
      <w:r>
        <w:rPr>
          <w:rStyle w:val="FootnoteReference"/>
        </w:rPr>
        <w:footnoteRef/>
      </w:r>
      <w:r>
        <w:t xml:space="preserve"> </w:t>
      </w:r>
      <w:r>
        <w:rPr>
          <w:i/>
        </w:rPr>
        <w:t xml:space="preserve">See </w:t>
      </w:r>
      <w:r>
        <w:t>America Invents Act § 18(a)(1)(B).</w:t>
      </w:r>
    </w:p>
  </w:footnote>
  <w:footnote w:id="82">
    <w:p w14:paraId="223CE541" w14:textId="19194F84" w:rsidR="0012014D" w:rsidRPr="00696C35" w:rsidRDefault="0012014D">
      <w:pPr>
        <w:pStyle w:val="FootnoteText"/>
        <w:rPr>
          <w:i/>
        </w:rPr>
      </w:pPr>
      <w:r>
        <w:rPr>
          <w:rStyle w:val="FootnoteReference"/>
        </w:rPr>
        <w:footnoteRef/>
      </w:r>
      <w:r>
        <w:t xml:space="preserve"> </w:t>
      </w:r>
      <w:r>
        <w:rPr>
          <w:i/>
        </w:rPr>
        <w:t>Id.</w:t>
      </w:r>
    </w:p>
  </w:footnote>
  <w:footnote w:id="83">
    <w:p w14:paraId="5F0F9215" w14:textId="2CE6C339" w:rsidR="0012014D" w:rsidRPr="00F47A90" w:rsidRDefault="0012014D">
      <w:pPr>
        <w:pStyle w:val="FootnoteText"/>
      </w:pPr>
      <w:r>
        <w:rPr>
          <w:rStyle w:val="FootnoteReference"/>
        </w:rPr>
        <w:footnoteRef/>
      </w:r>
      <w:r>
        <w:t xml:space="preserve"> </w:t>
      </w:r>
      <w:r>
        <w:rPr>
          <w:i/>
        </w:rPr>
        <w:t>See id.</w:t>
      </w:r>
      <w:r>
        <w:t xml:space="preserve"> § 18(a</w:t>
      </w:r>
      <w:proofErr w:type="gramStart"/>
      <w:r>
        <w:t>)(</w:t>
      </w:r>
      <w:proofErr w:type="gramEnd"/>
      <w:r>
        <w:t>1).</w:t>
      </w:r>
    </w:p>
  </w:footnote>
  <w:footnote w:id="84">
    <w:p w14:paraId="0251BFB4" w14:textId="1CF35948" w:rsidR="0012014D" w:rsidRPr="00F47A90" w:rsidRDefault="0012014D">
      <w:pPr>
        <w:pStyle w:val="FootnoteText"/>
      </w:pPr>
      <w:r>
        <w:rPr>
          <w:rStyle w:val="FootnoteReference"/>
        </w:rPr>
        <w:footnoteRef/>
      </w:r>
      <w:r>
        <w:t xml:space="preserve"> </w:t>
      </w:r>
      <w:r>
        <w:rPr>
          <w:i/>
        </w:rPr>
        <w:t>Id.</w:t>
      </w:r>
      <w:r>
        <w:t xml:space="preserve"> § 18(a</w:t>
      </w:r>
      <w:proofErr w:type="gramStart"/>
      <w:r>
        <w:t>)(</w:t>
      </w:r>
      <w:proofErr w:type="gramEnd"/>
      <w:r>
        <w:t>3).</w:t>
      </w:r>
    </w:p>
  </w:footnote>
  <w:footnote w:id="85">
    <w:p w14:paraId="7BF139CE" w14:textId="5FA2CD9D" w:rsidR="0012014D" w:rsidRPr="0095748C" w:rsidRDefault="0012014D" w:rsidP="00123858">
      <w:pPr>
        <w:pStyle w:val="FootnoteText"/>
      </w:pPr>
      <w:r>
        <w:rPr>
          <w:rStyle w:val="FootnoteReference"/>
        </w:rPr>
        <w:footnoteRef/>
      </w:r>
      <w:r>
        <w:t xml:space="preserve"> </w:t>
      </w:r>
      <w:r w:rsidRPr="009C2DE5">
        <w:rPr>
          <w:smallCaps/>
        </w:rPr>
        <w:t>PTAB Statistics</w:t>
      </w:r>
      <w:r>
        <w:t xml:space="preserve">, </w:t>
      </w:r>
      <w:r>
        <w:rPr>
          <w:i/>
        </w:rPr>
        <w:t>supra</w:t>
      </w:r>
      <w:r>
        <w:t xml:space="preserve"> note </w:t>
      </w:r>
      <w:r>
        <w:fldChar w:fldCharType="begin"/>
      </w:r>
      <w:r>
        <w:instrText xml:space="preserve"> NOTEREF _Ref431200469 \h </w:instrText>
      </w:r>
      <w:r>
        <w:fldChar w:fldCharType="separate"/>
      </w:r>
      <w:r w:rsidR="00EF4990">
        <w:t>69</w:t>
      </w:r>
      <w:r>
        <w:fldChar w:fldCharType="end"/>
      </w:r>
      <w:r>
        <w:t xml:space="preserve">, at 8, 10.  </w:t>
      </w:r>
    </w:p>
  </w:footnote>
  <w:footnote w:id="86">
    <w:p w14:paraId="704380C7" w14:textId="384F8F8F" w:rsidR="0012014D" w:rsidRPr="0095748C" w:rsidRDefault="0012014D" w:rsidP="00123858">
      <w:pPr>
        <w:pStyle w:val="FootnoteText"/>
      </w:pPr>
      <w:r>
        <w:rPr>
          <w:rStyle w:val="FootnoteReference"/>
        </w:rPr>
        <w:footnoteRef/>
      </w:r>
      <w:r>
        <w:t xml:space="preserve"> </w:t>
      </w:r>
      <w:r>
        <w:rPr>
          <w:i/>
        </w:rPr>
        <w:t>Id.</w:t>
      </w:r>
      <w:r>
        <w:t xml:space="preserve"> at 10.</w:t>
      </w:r>
    </w:p>
  </w:footnote>
  <w:footnote w:id="87">
    <w:p w14:paraId="1A62FB2A" w14:textId="63F0B5D0" w:rsidR="0012014D" w:rsidRDefault="0012014D" w:rsidP="00137805">
      <w:pPr>
        <w:pStyle w:val="FootnoteText"/>
      </w:pPr>
      <w:r>
        <w:rPr>
          <w:rStyle w:val="FootnoteReference"/>
        </w:rPr>
        <w:footnoteRef/>
      </w:r>
      <w:r>
        <w:t xml:space="preserve"> </w:t>
      </w:r>
      <w:r>
        <w:rPr>
          <w:i/>
        </w:rPr>
        <w:t>E.g.</w:t>
      </w:r>
      <w:r>
        <w:t xml:space="preserve">, </w:t>
      </w:r>
      <w:r w:rsidRPr="00195B08">
        <w:t xml:space="preserve">Universal </w:t>
      </w:r>
      <w:proofErr w:type="spellStart"/>
      <w:proofErr w:type="gramStart"/>
      <w:r w:rsidRPr="00195B08">
        <w:t>Elec</w:t>
      </w:r>
      <w:r>
        <w:t>s</w:t>
      </w:r>
      <w:proofErr w:type="spellEnd"/>
      <w:r>
        <w:t>.</w:t>
      </w:r>
      <w:r w:rsidRPr="00195B08">
        <w:t>,</w:t>
      </w:r>
      <w:proofErr w:type="gramEnd"/>
      <w:r w:rsidRPr="00195B08">
        <w:t xml:space="preserve"> Inc. v. Universal Remote Control, Inc., 943 F. Supp. 2d 1028, 1030-31 (C.D. Cal. 2013)</w:t>
      </w:r>
      <w:r>
        <w:t>.</w:t>
      </w:r>
    </w:p>
  </w:footnote>
  <w:footnote w:id="88">
    <w:p w14:paraId="25D1A08B" w14:textId="3EF68B54" w:rsidR="0012014D" w:rsidRDefault="0012014D">
      <w:pPr>
        <w:pStyle w:val="FootnoteText"/>
      </w:pPr>
      <w:r>
        <w:rPr>
          <w:rStyle w:val="FootnoteReference"/>
        </w:rPr>
        <w:footnoteRef/>
      </w:r>
      <w:r>
        <w:t xml:space="preserve"> America Invents Act § 18(b</w:t>
      </w:r>
      <w:proofErr w:type="gramStart"/>
      <w:r>
        <w:t>)(</w:t>
      </w:r>
      <w:proofErr w:type="gramEnd"/>
      <w:r>
        <w:t>1).</w:t>
      </w:r>
    </w:p>
  </w:footnote>
  <w:footnote w:id="89">
    <w:p w14:paraId="15E4D401" w14:textId="0D0B4BC7" w:rsidR="0012014D" w:rsidRPr="008B7453" w:rsidRDefault="0012014D" w:rsidP="008B7453">
      <w:pPr>
        <w:pStyle w:val="FootnoteText"/>
      </w:pPr>
      <w:r>
        <w:rPr>
          <w:rStyle w:val="FootnoteReference"/>
        </w:rPr>
        <w:footnoteRef/>
      </w:r>
      <w:r>
        <w:t xml:space="preserve"> 157 Cong. Rec. S1363-65 (daily ed. Mar. 8, 2011) (remarks of Sen. Schumer).</w:t>
      </w:r>
      <w:r w:rsidRPr="0006004C">
        <w:t xml:space="preserve"> </w:t>
      </w:r>
      <w:r>
        <w:t xml:space="preserve"> Also, in an exception to the usual rule that only final judgments are appealable, </w:t>
      </w:r>
      <w:r>
        <w:rPr>
          <w:i/>
        </w:rPr>
        <w:t xml:space="preserve">see </w:t>
      </w:r>
      <w:r>
        <w:t>28 U.S.C. §§ 1291, 1295(a)(1),</w:t>
      </w:r>
      <w:r w:rsidRPr="0006004C">
        <w:t xml:space="preserve"> </w:t>
      </w:r>
      <w:r>
        <w:t>the covered business method review statute permits immediate appeal of a stay decision to the Federal Circuit, provided that the PTAB has decided to institute covered business method review.</w:t>
      </w:r>
      <w:r w:rsidRPr="0006004C">
        <w:t xml:space="preserve"> </w:t>
      </w:r>
      <w:r>
        <w:t xml:space="preserve"> America Invents Act § 18(b)(2); </w:t>
      </w:r>
      <w:r>
        <w:rPr>
          <w:i/>
        </w:rPr>
        <w:t xml:space="preserve">see </w:t>
      </w:r>
      <w:r w:rsidRPr="008B7453">
        <w:t>Intellectual Ventures II LLC v. JPMorgan Chase &amp; Co., 781 F.3d 1372, 1379 (Fed. Cir. 2015).</w:t>
      </w:r>
    </w:p>
  </w:footnote>
  <w:footnote w:id="90">
    <w:p w14:paraId="041D45C8" w14:textId="2C01E7CA" w:rsidR="0012014D" w:rsidRPr="00B0306D" w:rsidRDefault="0012014D">
      <w:pPr>
        <w:pStyle w:val="FootnoteText"/>
      </w:pPr>
      <w:r>
        <w:rPr>
          <w:rStyle w:val="FootnoteReference"/>
        </w:rPr>
        <w:footnoteRef/>
      </w:r>
      <w:r>
        <w:t xml:space="preserve"> </w:t>
      </w:r>
      <w:r>
        <w:rPr>
          <w:i/>
        </w:rPr>
        <w:t xml:space="preserve">See </w:t>
      </w:r>
      <w:r w:rsidRPr="00B0306D">
        <w:rPr>
          <w:smallCaps/>
        </w:rPr>
        <w:t>Docket Navigator</w:t>
      </w:r>
      <w:r>
        <w:t xml:space="preserve">, </w:t>
      </w:r>
      <w:r>
        <w:rPr>
          <w:i/>
        </w:rPr>
        <w:t>supra</w:t>
      </w:r>
      <w:r>
        <w:t xml:space="preserve"> note </w:t>
      </w:r>
      <w:r>
        <w:fldChar w:fldCharType="begin"/>
      </w:r>
      <w:r>
        <w:instrText xml:space="preserve"> NOTEREF _Ref300403927 \h </w:instrText>
      </w:r>
      <w:r>
        <w:fldChar w:fldCharType="separate"/>
      </w:r>
      <w:r w:rsidR="00EF4990">
        <w:t>7</w:t>
      </w:r>
      <w:r>
        <w:fldChar w:fldCharType="end"/>
      </w:r>
      <w:r>
        <w:t>, at 34 (reporting that, out of 467 stay motions decided by district courts in 2014, 265 were granted in full, 30 were granted in part, and 146 were denied, with 26 rulings classified as “other”).</w:t>
      </w:r>
    </w:p>
  </w:footnote>
  <w:footnote w:id="91">
    <w:p w14:paraId="0566BB69" w14:textId="3E2F33B5" w:rsidR="0012014D" w:rsidRPr="00C93482" w:rsidRDefault="0012014D">
      <w:pPr>
        <w:pStyle w:val="FootnoteText"/>
      </w:pPr>
      <w:r>
        <w:rPr>
          <w:rStyle w:val="FootnoteReference"/>
        </w:rPr>
        <w:footnoteRef/>
      </w:r>
      <w:r>
        <w:t xml:space="preserve"> </w:t>
      </w:r>
      <w:r>
        <w:rPr>
          <w:i/>
        </w:rPr>
        <w:t xml:space="preserve">See </w:t>
      </w:r>
      <w:r>
        <w:t xml:space="preserve">Love &amp; </w:t>
      </w:r>
      <w:proofErr w:type="spellStart"/>
      <w:r>
        <w:t>Ambwani</w:t>
      </w:r>
      <w:proofErr w:type="spellEnd"/>
      <w:r>
        <w:t xml:space="preserve">, </w:t>
      </w:r>
      <w:r>
        <w:rPr>
          <w:i/>
        </w:rPr>
        <w:t>supra</w:t>
      </w:r>
      <w:r>
        <w:t xml:space="preserve"> note </w:t>
      </w:r>
      <w:r>
        <w:fldChar w:fldCharType="begin"/>
      </w:r>
      <w:r>
        <w:instrText xml:space="preserve"> NOTEREF _Ref300404077 \h </w:instrText>
      </w:r>
      <w:r>
        <w:fldChar w:fldCharType="separate"/>
      </w:r>
      <w:r w:rsidR="00EF4990">
        <w:t>6</w:t>
      </w:r>
      <w:r>
        <w:fldChar w:fldCharType="end"/>
      </w:r>
      <w:r>
        <w:t xml:space="preserve">, at 103.  The eighty percent figure covers 171 motions to stay filed between September 2012 and March 2014 and includes stay motions that were granted only in part.  </w:t>
      </w:r>
      <w:r>
        <w:rPr>
          <w:i/>
        </w:rPr>
        <w:t>See id.</w:t>
      </w:r>
      <w:r>
        <w:t xml:space="preserve"> </w:t>
      </w:r>
      <w:proofErr w:type="gramStart"/>
      <w:r>
        <w:t>at</w:t>
      </w:r>
      <w:proofErr w:type="gramEnd"/>
      <w:r>
        <w:t xml:space="preserve"> 96, 103 n.39. </w:t>
      </w:r>
    </w:p>
  </w:footnote>
  <w:footnote w:id="92">
    <w:p w14:paraId="6B0772AF" w14:textId="02D6F7BC" w:rsidR="0012014D" w:rsidRDefault="0012014D">
      <w:pPr>
        <w:pStyle w:val="FootnoteText"/>
      </w:pPr>
      <w:r>
        <w:rPr>
          <w:rStyle w:val="FootnoteReference"/>
        </w:rPr>
        <w:footnoteRef/>
      </w:r>
      <w:r>
        <w:t xml:space="preserve"> NFC Tech. LLC v. HTC Am., Inc., No. 2:13-CV-1059, 2015 WL 1069111, at *7 (E.D. Tex. Mar. 11, 2015) (Bryson, J., sitting by designation).</w:t>
      </w:r>
    </w:p>
  </w:footnote>
  <w:footnote w:id="93">
    <w:p w14:paraId="3081AACD" w14:textId="77777777" w:rsidR="0012014D" w:rsidRPr="003A6E85" w:rsidRDefault="0012014D" w:rsidP="00F872D6">
      <w:pPr>
        <w:pStyle w:val="FootnoteText"/>
      </w:pPr>
      <w:r>
        <w:rPr>
          <w:rStyle w:val="FootnoteReference"/>
        </w:rPr>
        <w:footnoteRef/>
      </w:r>
      <w:r>
        <w:t xml:space="preserve"> </w:t>
      </w:r>
      <w:r>
        <w:rPr>
          <w:i/>
        </w:rPr>
        <w:t>See, e.g.</w:t>
      </w:r>
      <w:r>
        <w:t xml:space="preserve">, Universal </w:t>
      </w:r>
      <w:proofErr w:type="spellStart"/>
      <w:r>
        <w:t>Elecs</w:t>
      </w:r>
      <w:proofErr w:type="spellEnd"/>
      <w:r>
        <w:t>., Inc. v. Universal Remote Control, Inc., 943 F. Supp. 2d 1028, 1031 (C.D. Cal. 2013) (denying a stay when the accused infringer “</w:t>
      </w:r>
      <w:r w:rsidRPr="003A6E85">
        <w:t xml:space="preserve">did not file </w:t>
      </w:r>
      <w:proofErr w:type="gramStart"/>
      <w:r w:rsidRPr="003A6E85">
        <w:t>its</w:t>
      </w:r>
      <w:proofErr w:type="gramEnd"/>
      <w:r w:rsidRPr="003A6E85">
        <w:t xml:space="preserve"> </w:t>
      </w:r>
      <w:r w:rsidRPr="003A6E85">
        <w:rPr>
          <w:i/>
        </w:rPr>
        <w:t xml:space="preserve">inter </w:t>
      </w:r>
      <w:proofErr w:type="spellStart"/>
      <w:r w:rsidRPr="003A6E85">
        <w:rPr>
          <w:i/>
        </w:rPr>
        <w:t>partes</w:t>
      </w:r>
      <w:proofErr w:type="spellEnd"/>
      <w:r w:rsidRPr="003A6E85">
        <w:t xml:space="preserve"> review petitions until almost a year after being served with the complaint</w:t>
      </w:r>
      <w:r>
        <w:t>”).</w:t>
      </w:r>
    </w:p>
  </w:footnote>
  <w:footnote w:id="94">
    <w:p w14:paraId="79824420" w14:textId="77777777" w:rsidR="0012014D" w:rsidRPr="0030162A" w:rsidRDefault="0012014D" w:rsidP="00F872D6">
      <w:pPr>
        <w:pStyle w:val="FootnoteText"/>
      </w:pPr>
      <w:r>
        <w:rPr>
          <w:rStyle w:val="FootnoteReference"/>
        </w:rPr>
        <w:footnoteRef/>
      </w:r>
      <w:r>
        <w:t xml:space="preserve"> </w:t>
      </w:r>
      <w:r>
        <w:rPr>
          <w:i/>
        </w:rPr>
        <w:t>See, e.g.</w:t>
      </w:r>
      <w:r>
        <w:t>, Tire Hanger Corp. v. Mr. Car Guy Concierge Serv. Inc., No. 5:14-cv-</w:t>
      </w:r>
      <w:r w:rsidRPr="0030162A">
        <w:t>549</w:t>
      </w:r>
      <w:r>
        <w:t>, slip op. at 2 (C.D. Cal. June 16, 2015).</w:t>
      </w:r>
    </w:p>
  </w:footnote>
  <w:footnote w:id="95">
    <w:p w14:paraId="157C6EAC" w14:textId="77777777" w:rsidR="0012014D" w:rsidRPr="00F402A0" w:rsidRDefault="0012014D" w:rsidP="00F872D6">
      <w:pPr>
        <w:pStyle w:val="FootnoteText"/>
      </w:pPr>
      <w:r>
        <w:rPr>
          <w:rStyle w:val="FootnoteReference"/>
        </w:rPr>
        <w:footnoteRef/>
      </w:r>
      <w:r>
        <w:t xml:space="preserve"> </w:t>
      </w:r>
      <w:r>
        <w:rPr>
          <w:i/>
        </w:rPr>
        <w:t>See, e.g.</w:t>
      </w:r>
      <w:r>
        <w:t xml:space="preserve">, Courtesy Prods., L.L.C. v. Hamilton Beach Brands, Inc., Civ. No. 13-2012, slip op. at 3 (D. Del. Sept. 1, 2015).  </w:t>
      </w:r>
    </w:p>
  </w:footnote>
  <w:footnote w:id="96">
    <w:p w14:paraId="18282C64" w14:textId="28F558BA" w:rsidR="0012014D" w:rsidRDefault="0012014D">
      <w:pPr>
        <w:pStyle w:val="FootnoteText"/>
      </w:pPr>
      <w:r>
        <w:rPr>
          <w:rStyle w:val="FootnoteReference"/>
        </w:rPr>
        <w:footnoteRef/>
      </w:r>
      <w:r>
        <w:t xml:space="preserve"> </w:t>
      </w:r>
      <w:r>
        <w:rPr>
          <w:i/>
        </w:rPr>
        <w:t xml:space="preserve">See </w:t>
      </w:r>
      <w:r w:rsidRPr="004378E2">
        <w:t xml:space="preserve">Robert Greene Sterne, et al., </w:t>
      </w:r>
      <w:r w:rsidRPr="004378E2">
        <w:rPr>
          <w:i/>
        </w:rPr>
        <w:t>Reexamination Practice with Concurrent District Court Patent Litigation</w:t>
      </w:r>
      <w:r w:rsidRPr="004378E2">
        <w:t xml:space="preserve">, 9 </w:t>
      </w:r>
      <w:r w:rsidRPr="004378E2">
        <w:rPr>
          <w:smallCaps/>
        </w:rPr>
        <w:t>Sedona Conf. J.</w:t>
      </w:r>
      <w:r w:rsidRPr="004378E2">
        <w:t xml:space="preserve"> 53, 61 (2008)</w:t>
      </w:r>
      <w:r>
        <w:t xml:space="preserve">.  Some data suggests, however, that courts grant motions to stay pending ex parte reexamination and motions to stay pending inter </w:t>
      </w:r>
      <w:proofErr w:type="spellStart"/>
      <w:r>
        <w:t>partes</w:t>
      </w:r>
      <w:proofErr w:type="spellEnd"/>
      <w:r>
        <w:t xml:space="preserve"> review at roughly the same rates.  </w:t>
      </w:r>
      <w:r>
        <w:rPr>
          <w:i/>
        </w:rPr>
        <w:t xml:space="preserve">See </w:t>
      </w:r>
      <w:r>
        <w:t xml:space="preserve">Docket Navigator, </w:t>
      </w:r>
      <w:r w:rsidRPr="00C93482">
        <w:rPr>
          <w:i/>
        </w:rPr>
        <w:t>Success Rates for Motions to Stay Pending Reexamination</w:t>
      </w:r>
      <w:r>
        <w:t xml:space="preserve">, </w:t>
      </w:r>
      <w:r w:rsidRPr="00F872D6">
        <w:t>https://www.docketnavigator.com/stats/reexam</w:t>
      </w:r>
      <w:r>
        <w:t xml:space="preserve"> (reporting grant rates of roughly sixty percent for both motions to stay pending ex parte reexamination and motions to stay pending AIA proceedings).</w:t>
      </w:r>
    </w:p>
  </w:footnote>
  <w:footnote w:id="97">
    <w:p w14:paraId="29C63BC0" w14:textId="720E05F0" w:rsidR="0012014D" w:rsidRDefault="0012014D" w:rsidP="00C60338">
      <w:pPr>
        <w:pStyle w:val="FootnoteText"/>
      </w:pPr>
      <w:r>
        <w:rPr>
          <w:rStyle w:val="FootnoteReference"/>
        </w:rPr>
        <w:footnoteRef/>
      </w:r>
      <w:r>
        <w:t xml:space="preserve"> Dennis Crouch, </w:t>
      </w:r>
      <w:r>
        <w:rPr>
          <w:i/>
        </w:rPr>
        <w:t>The Concentrated Market of Patent Jurisdictions</w:t>
      </w:r>
      <w:r>
        <w:t xml:space="preserve">, </w:t>
      </w:r>
      <w:proofErr w:type="spellStart"/>
      <w:r w:rsidRPr="000A2A4E">
        <w:rPr>
          <w:smallCaps/>
        </w:rPr>
        <w:t>PatentlyO</w:t>
      </w:r>
      <w:proofErr w:type="spellEnd"/>
      <w:r>
        <w:t xml:space="preserve"> (Oct. 8, 2015), http://</w:t>
      </w:r>
      <w:r w:rsidRPr="000A2A4E">
        <w:t>patentlyo.com/patent/2015/10/concentrated-patent-jurisdictions.html</w:t>
      </w:r>
      <w:r>
        <w:t xml:space="preserve">.  For explorations of the dynamics that have led the Eastern District of Texas, headquartered in the town of Marshall (population 23,523), to become the nation’s leading patent trial court, see J. Jonas Anderson, </w:t>
      </w:r>
      <w:r w:rsidRPr="00C60338">
        <w:rPr>
          <w:i/>
        </w:rPr>
        <w:t>Court Competition for Patent Cases</w:t>
      </w:r>
      <w:r>
        <w:t xml:space="preserve">, 163 </w:t>
      </w:r>
      <w:r w:rsidRPr="00C60338">
        <w:rPr>
          <w:smallCaps/>
        </w:rPr>
        <w:t>U. Pa. L. Rev.</w:t>
      </w:r>
      <w:r>
        <w:t xml:space="preserve"> 631, 651-54 (2015); Daniel </w:t>
      </w:r>
      <w:proofErr w:type="spellStart"/>
      <w:r>
        <w:t>Klerman</w:t>
      </w:r>
      <w:proofErr w:type="spellEnd"/>
      <w:r>
        <w:t xml:space="preserve"> &amp; Greg Reilly, </w:t>
      </w:r>
      <w:r>
        <w:rPr>
          <w:i/>
        </w:rPr>
        <w:t>Forum Selling</w:t>
      </w:r>
      <w:r>
        <w:t xml:space="preserve">, 88 </w:t>
      </w:r>
      <w:r w:rsidRPr="00C60338">
        <w:rPr>
          <w:smallCaps/>
        </w:rPr>
        <w:t>S. Cal. L. Rev.</w:t>
      </w:r>
      <w:r>
        <w:t xml:space="preserve"> (forthcoming 2015) (manuscript at 9-25), </w:t>
      </w:r>
      <w:r>
        <w:rPr>
          <w:i/>
        </w:rPr>
        <w:t>available at</w:t>
      </w:r>
      <w:r>
        <w:t xml:space="preserve"> </w:t>
      </w:r>
      <w:r w:rsidRPr="00C60338">
        <w:t>http://ssrn.com/abstract=2538857</w:t>
      </w:r>
      <w:r>
        <w:t>.</w:t>
      </w:r>
    </w:p>
  </w:footnote>
  <w:footnote w:id="98">
    <w:p w14:paraId="5FDAECCB" w14:textId="1F06CEC3" w:rsidR="0012014D" w:rsidRPr="00DF765E" w:rsidRDefault="0012014D" w:rsidP="00DF765E">
      <w:pPr>
        <w:pStyle w:val="FootnoteText"/>
      </w:pPr>
      <w:r>
        <w:rPr>
          <w:rStyle w:val="FootnoteReference"/>
        </w:rPr>
        <w:footnoteRef/>
      </w:r>
      <w:r>
        <w:t xml:space="preserve"> </w:t>
      </w:r>
      <w:proofErr w:type="spellStart"/>
      <w:r w:rsidRPr="00DF765E">
        <w:rPr>
          <w:smallCaps/>
        </w:rPr>
        <w:t>Menell</w:t>
      </w:r>
      <w:proofErr w:type="spellEnd"/>
      <w:r w:rsidRPr="00DF765E">
        <w:rPr>
          <w:smallCaps/>
        </w:rPr>
        <w:t xml:space="preserve"> et al.</w:t>
      </w:r>
      <w:r>
        <w:t xml:space="preserve">, </w:t>
      </w:r>
      <w:r>
        <w:rPr>
          <w:i/>
        </w:rPr>
        <w:t xml:space="preserve">supra </w:t>
      </w:r>
      <w:r>
        <w:t xml:space="preserve">note </w:t>
      </w:r>
      <w:r>
        <w:fldChar w:fldCharType="begin"/>
      </w:r>
      <w:r>
        <w:instrText xml:space="preserve"> NOTEREF _Ref300816758 \h </w:instrText>
      </w:r>
      <w:r>
        <w:fldChar w:fldCharType="separate"/>
      </w:r>
      <w:r w:rsidR="00EF4990">
        <w:t>10</w:t>
      </w:r>
      <w:r>
        <w:fldChar w:fldCharType="end"/>
      </w:r>
      <w:r>
        <w:t xml:space="preserve">, at 2-68.  </w:t>
      </w:r>
    </w:p>
  </w:footnote>
  <w:footnote w:id="99">
    <w:p w14:paraId="4988ABAB" w14:textId="6017C1A7" w:rsidR="0012014D" w:rsidRPr="00C60338" w:rsidRDefault="0012014D">
      <w:pPr>
        <w:pStyle w:val="FootnoteText"/>
        <w:rPr>
          <w:i/>
        </w:rPr>
      </w:pPr>
      <w:r>
        <w:rPr>
          <w:rStyle w:val="FootnoteReference"/>
        </w:rPr>
        <w:footnoteRef/>
      </w:r>
      <w:r>
        <w:t xml:space="preserve"> </w:t>
      </w:r>
      <w:r>
        <w:rPr>
          <w:i/>
        </w:rPr>
        <w:t>Id.</w:t>
      </w:r>
    </w:p>
  </w:footnote>
  <w:footnote w:id="100">
    <w:p w14:paraId="1EE068C6" w14:textId="4407F754" w:rsidR="0012014D" w:rsidRDefault="0012014D">
      <w:pPr>
        <w:pStyle w:val="FootnoteText"/>
      </w:pPr>
      <w:r>
        <w:rPr>
          <w:rStyle w:val="FootnoteReference"/>
        </w:rPr>
        <w:footnoteRef/>
      </w:r>
      <w:r>
        <w:t xml:space="preserve"> </w:t>
      </w:r>
      <w:r>
        <w:rPr>
          <w:i/>
        </w:rPr>
        <w:t xml:space="preserve">See </w:t>
      </w:r>
      <w:r>
        <w:t xml:space="preserve">Jeffrey </w:t>
      </w:r>
      <w:proofErr w:type="spellStart"/>
      <w:r>
        <w:t>Kushan</w:t>
      </w:r>
      <w:proofErr w:type="spellEnd"/>
      <w:r>
        <w:t xml:space="preserve">, </w:t>
      </w:r>
      <w:r>
        <w:rPr>
          <w:i/>
        </w:rPr>
        <w:t>3 Years o</w:t>
      </w:r>
      <w:r w:rsidRPr="00C60338">
        <w:rPr>
          <w:i/>
        </w:rPr>
        <w:t>f Coordinating Litigation with PTAB Proceedings</w:t>
      </w:r>
      <w:r>
        <w:t xml:space="preserve">, </w:t>
      </w:r>
      <w:r w:rsidRPr="00C60338">
        <w:rPr>
          <w:smallCaps/>
        </w:rPr>
        <w:t>Law360</w:t>
      </w:r>
      <w:r>
        <w:t xml:space="preserve"> (Sept. 14, 2015), </w:t>
      </w:r>
      <w:r w:rsidRPr="00F17A3C">
        <w:t>http://www.law360.com/articles/700323</w:t>
      </w:r>
      <w:r>
        <w:t xml:space="preserve"> (reporting that, in the first eight months of 2015, the Eastern District granted five out of seven motions to stay litigation pending instituted inter </w:t>
      </w:r>
      <w:proofErr w:type="spellStart"/>
      <w:r>
        <w:t>partes</w:t>
      </w:r>
      <w:proofErr w:type="spellEnd"/>
      <w:r>
        <w:t xml:space="preserve"> review).</w:t>
      </w:r>
    </w:p>
  </w:footnote>
  <w:footnote w:id="101">
    <w:p w14:paraId="2CB5B544" w14:textId="1A6A950C" w:rsidR="0012014D" w:rsidRDefault="0012014D">
      <w:pPr>
        <w:pStyle w:val="FootnoteText"/>
      </w:pPr>
      <w:r>
        <w:rPr>
          <w:rStyle w:val="FootnoteReference"/>
        </w:rPr>
        <w:footnoteRef/>
      </w:r>
      <w:r>
        <w:t xml:space="preserve"> 35 U.S.C. § 282.</w:t>
      </w:r>
    </w:p>
  </w:footnote>
  <w:footnote w:id="102">
    <w:p w14:paraId="77C7C08E" w14:textId="736150D9" w:rsidR="0012014D" w:rsidRDefault="0012014D" w:rsidP="00457C2D">
      <w:pPr>
        <w:pStyle w:val="FootnoteText"/>
      </w:pPr>
      <w:r>
        <w:rPr>
          <w:rStyle w:val="FootnoteReference"/>
        </w:rPr>
        <w:footnoteRef/>
      </w:r>
      <w:r>
        <w:t xml:space="preserve"> Microsoft Corp. v. i4i Ltd. </w:t>
      </w:r>
      <w:proofErr w:type="spellStart"/>
      <w:r>
        <w:t>P’ship</w:t>
      </w:r>
      <w:proofErr w:type="spellEnd"/>
      <w:r>
        <w:t>, 131 S. Ct. 2238, 2246 (2011).</w:t>
      </w:r>
    </w:p>
  </w:footnote>
  <w:footnote w:id="103">
    <w:p w14:paraId="50762C31" w14:textId="073FE972" w:rsidR="0012014D" w:rsidRDefault="0012014D" w:rsidP="00566F17">
      <w:pPr>
        <w:pStyle w:val="FootnoteText"/>
      </w:pPr>
      <w:r>
        <w:rPr>
          <w:rStyle w:val="FootnoteReference"/>
        </w:rPr>
        <w:footnoteRef/>
      </w:r>
      <w:r>
        <w:t xml:space="preserve"> </w:t>
      </w:r>
      <w:r w:rsidRPr="00566F17">
        <w:rPr>
          <w:i/>
        </w:rPr>
        <w:t>In re</w:t>
      </w:r>
      <w:r>
        <w:t xml:space="preserve"> </w:t>
      </w:r>
      <w:proofErr w:type="spellStart"/>
      <w:r>
        <w:t>Etter</w:t>
      </w:r>
      <w:proofErr w:type="spellEnd"/>
      <w:r>
        <w:t>, 756 F.2d 852, 859 (Fed. Cir. 1985) (en banc).</w:t>
      </w:r>
    </w:p>
  </w:footnote>
  <w:footnote w:id="104">
    <w:p w14:paraId="620F2907" w14:textId="2992A31F" w:rsidR="0012014D" w:rsidRDefault="0012014D" w:rsidP="00241D11">
      <w:pPr>
        <w:pStyle w:val="FootnoteText"/>
      </w:pPr>
      <w:r>
        <w:rPr>
          <w:rStyle w:val="FootnoteReference"/>
        </w:rPr>
        <w:footnoteRef/>
      </w:r>
      <w:r>
        <w:t xml:space="preserve"> </w:t>
      </w:r>
      <w:r w:rsidRPr="00241D11">
        <w:rPr>
          <w:i/>
        </w:rPr>
        <w:t>In re</w:t>
      </w:r>
      <w:r>
        <w:t xml:space="preserve"> Swanson, 540 F.3d 1368, 1377 (Fed. Cir. 2008).</w:t>
      </w:r>
    </w:p>
  </w:footnote>
  <w:footnote w:id="105">
    <w:p w14:paraId="463828CD" w14:textId="6D4674E9" w:rsidR="0012014D" w:rsidRDefault="0012014D" w:rsidP="00241D11">
      <w:pPr>
        <w:pStyle w:val="FootnoteText"/>
      </w:pPr>
      <w:r>
        <w:rPr>
          <w:rStyle w:val="FootnoteReference"/>
        </w:rPr>
        <w:footnoteRef/>
      </w:r>
      <w:r>
        <w:t xml:space="preserve"> </w:t>
      </w:r>
      <w:r w:rsidRPr="00457C2D">
        <w:rPr>
          <w:i/>
        </w:rPr>
        <w:t>In re</w:t>
      </w:r>
      <w:r>
        <w:t xml:space="preserve"> Baxter Int’l, Inc., 678 F.3d 1357, 1364 (Fed. Cir. 2012)</w:t>
      </w:r>
      <w:r>
        <w:rPr>
          <w:i/>
        </w:rPr>
        <w:t xml:space="preserve"> </w:t>
      </w:r>
      <w:r>
        <w:t xml:space="preserve">(quoting </w:t>
      </w:r>
      <w:r>
        <w:rPr>
          <w:i/>
        </w:rPr>
        <w:t>Swanson</w:t>
      </w:r>
      <w:r>
        <w:t>, 540 F.3d at 1377).</w:t>
      </w:r>
    </w:p>
  </w:footnote>
  <w:footnote w:id="106">
    <w:p w14:paraId="6D55D56D" w14:textId="77777777" w:rsidR="0012014D" w:rsidRPr="00F83545" w:rsidRDefault="0012014D" w:rsidP="00053C6D">
      <w:pPr>
        <w:pStyle w:val="FootnoteText"/>
      </w:pPr>
      <w:r>
        <w:rPr>
          <w:rStyle w:val="FootnoteReference"/>
        </w:rPr>
        <w:footnoteRef/>
      </w:r>
      <w:r>
        <w:t xml:space="preserve"> </w:t>
      </w:r>
      <w:r>
        <w:rPr>
          <w:i/>
        </w:rPr>
        <w:t xml:space="preserve">See </w:t>
      </w:r>
      <w:r>
        <w:t xml:space="preserve">Paul R. Gugliuzza, </w:t>
      </w:r>
      <w:r>
        <w:rPr>
          <w:i/>
        </w:rPr>
        <w:t>The Federal Circuit as a Federal Court</w:t>
      </w:r>
      <w:r>
        <w:t xml:space="preserve">, 54 </w:t>
      </w:r>
      <w:r w:rsidRPr="00F83545">
        <w:rPr>
          <w:smallCaps/>
        </w:rPr>
        <w:t>Wm. &amp; Mary L. Rev.</w:t>
      </w:r>
      <w:r>
        <w:t xml:space="preserve"> 1791, 1831-32 (2013).</w:t>
      </w:r>
    </w:p>
  </w:footnote>
  <w:footnote w:id="107">
    <w:p w14:paraId="17A63BA1" w14:textId="257F965F" w:rsidR="0012014D" w:rsidRDefault="0012014D" w:rsidP="00B9074C">
      <w:pPr>
        <w:pStyle w:val="FootnoteText"/>
      </w:pPr>
      <w:r>
        <w:rPr>
          <w:rStyle w:val="FootnoteReference"/>
        </w:rPr>
        <w:footnoteRef/>
      </w:r>
      <w:r>
        <w:t xml:space="preserve"> Phillips v. AWH Corp., 415 F.3d 1303, 1313 (Fed. Cir. 2005) (en banc).</w:t>
      </w:r>
    </w:p>
  </w:footnote>
  <w:footnote w:id="108">
    <w:p w14:paraId="63D41F6A" w14:textId="06ADE63F" w:rsidR="0012014D" w:rsidRPr="00882D7C" w:rsidRDefault="0012014D">
      <w:pPr>
        <w:pStyle w:val="FootnoteText"/>
      </w:pPr>
      <w:r>
        <w:rPr>
          <w:rStyle w:val="FootnoteReference"/>
        </w:rPr>
        <w:footnoteRef/>
      </w:r>
      <w:r>
        <w:t xml:space="preserve"> </w:t>
      </w:r>
      <w:r>
        <w:rPr>
          <w:i/>
        </w:rPr>
        <w:t>Id.</w:t>
      </w:r>
      <w:r>
        <w:t xml:space="preserve"> at 1314.</w:t>
      </w:r>
    </w:p>
  </w:footnote>
  <w:footnote w:id="109">
    <w:p w14:paraId="34F2A8D4" w14:textId="27369D21" w:rsidR="0012014D" w:rsidRPr="00D64BA1" w:rsidRDefault="0012014D">
      <w:pPr>
        <w:pStyle w:val="FootnoteText"/>
      </w:pPr>
      <w:r>
        <w:rPr>
          <w:rStyle w:val="FootnoteReference"/>
        </w:rPr>
        <w:footnoteRef/>
      </w:r>
      <w:r>
        <w:t xml:space="preserve"> </w:t>
      </w:r>
      <w:r>
        <w:rPr>
          <w:i/>
        </w:rPr>
        <w:t>Id.</w:t>
      </w:r>
      <w:r>
        <w:t xml:space="preserve"> at 1312 (quoting</w:t>
      </w:r>
      <w:r w:rsidRPr="00882D7C">
        <w:t xml:space="preserve"> Merrill v. </w:t>
      </w:r>
      <w:proofErr w:type="spellStart"/>
      <w:r w:rsidRPr="00882D7C">
        <w:t>Yeomans</w:t>
      </w:r>
      <w:proofErr w:type="spellEnd"/>
      <w:r>
        <w:t>, 94 U.S. 568, 570</w:t>
      </w:r>
      <w:r w:rsidRPr="00882D7C">
        <w:t xml:space="preserve"> (1876)</w:t>
      </w:r>
      <w:r>
        <w:t>).</w:t>
      </w:r>
    </w:p>
  </w:footnote>
  <w:footnote w:id="110">
    <w:p w14:paraId="76A5EE38" w14:textId="5627BD94" w:rsidR="0012014D" w:rsidRPr="00053C6D" w:rsidRDefault="0012014D">
      <w:pPr>
        <w:pStyle w:val="FootnoteText"/>
      </w:pPr>
      <w:r>
        <w:rPr>
          <w:rStyle w:val="FootnoteReference"/>
        </w:rPr>
        <w:footnoteRef/>
      </w:r>
      <w:r>
        <w:t xml:space="preserve"> 37 C.F.R.</w:t>
      </w:r>
      <w:r w:rsidRPr="00B84CE9">
        <w:t xml:space="preserve"> </w:t>
      </w:r>
      <w:r>
        <w:t>§</w:t>
      </w:r>
      <w:r w:rsidRPr="00B84CE9">
        <w:t>§ 1.555</w:t>
      </w:r>
      <w:r>
        <w:t xml:space="preserve">(b), 42.100(b), 42.200(b), 42.300(b).  </w:t>
      </w:r>
    </w:p>
  </w:footnote>
  <w:footnote w:id="111">
    <w:p w14:paraId="4AFC944D" w14:textId="77777777" w:rsidR="0012014D" w:rsidRDefault="0012014D" w:rsidP="00EA5977">
      <w:pPr>
        <w:pStyle w:val="FootnoteText"/>
      </w:pPr>
      <w:r>
        <w:rPr>
          <w:rStyle w:val="FootnoteReference"/>
        </w:rPr>
        <w:footnoteRef/>
      </w:r>
      <w:r>
        <w:t xml:space="preserve"> Facebook, Inc. v. </w:t>
      </w:r>
      <w:proofErr w:type="spellStart"/>
      <w:r>
        <w:t>Pragmatus</w:t>
      </w:r>
      <w:proofErr w:type="spellEnd"/>
      <w:r>
        <w:t xml:space="preserve"> AV, LLC, 582 F. </w:t>
      </w:r>
      <w:proofErr w:type="spellStart"/>
      <w:r>
        <w:t>App’x</w:t>
      </w:r>
      <w:proofErr w:type="spellEnd"/>
      <w:r>
        <w:t xml:space="preserve"> 864, 869 (Fed. Cir. 2014).</w:t>
      </w:r>
    </w:p>
  </w:footnote>
  <w:footnote w:id="112">
    <w:p w14:paraId="67600B11" w14:textId="416A0B80" w:rsidR="0012014D" w:rsidRDefault="0012014D" w:rsidP="007C715C">
      <w:pPr>
        <w:pStyle w:val="FootnoteText"/>
      </w:pPr>
      <w:r>
        <w:rPr>
          <w:rStyle w:val="FootnoteReference"/>
        </w:rPr>
        <w:footnoteRef/>
      </w:r>
      <w:r>
        <w:t xml:space="preserve"> </w:t>
      </w:r>
      <w:r w:rsidRPr="007C715C">
        <w:rPr>
          <w:i/>
        </w:rPr>
        <w:t>See In re</w:t>
      </w:r>
      <w:r>
        <w:t xml:space="preserve"> Yamamoto, 740 F.2d 1569, 1572 (Fed. Cir. 1984).  </w:t>
      </w:r>
    </w:p>
  </w:footnote>
  <w:footnote w:id="113">
    <w:p w14:paraId="25FB96A9" w14:textId="7062BC2C" w:rsidR="0012014D" w:rsidRPr="00F47DA1" w:rsidRDefault="0012014D" w:rsidP="009A2235">
      <w:pPr>
        <w:pStyle w:val="FootnoteText"/>
      </w:pPr>
      <w:r>
        <w:rPr>
          <w:rStyle w:val="FootnoteReference"/>
        </w:rPr>
        <w:footnoteRef/>
      </w:r>
      <w:r>
        <w:t xml:space="preserve"> Changes to Implement Inter </w:t>
      </w:r>
      <w:proofErr w:type="spellStart"/>
      <w:r>
        <w:t>Partes</w:t>
      </w:r>
      <w:proofErr w:type="spellEnd"/>
      <w:r>
        <w:t xml:space="preserve"> Review Proceedings, Post-Grant Review Proceedings, and Transitional Program for Covered Business Method Patents, 77 Fed. Reg. 48,680, 48,697-98 (2012); </w:t>
      </w:r>
      <w:r>
        <w:rPr>
          <w:i/>
        </w:rPr>
        <w:t>see also</w:t>
      </w:r>
      <w:r>
        <w:t xml:space="preserve"> </w:t>
      </w:r>
      <w:r>
        <w:rPr>
          <w:i/>
        </w:rPr>
        <w:t xml:space="preserve">In re </w:t>
      </w:r>
      <w:proofErr w:type="spellStart"/>
      <w:r>
        <w:t>Cuozzo</w:t>
      </w:r>
      <w:proofErr w:type="spellEnd"/>
      <w:r>
        <w:t xml:space="preserve"> Speed Techs., LLC, </w:t>
      </w:r>
      <w:r w:rsidRPr="0035331A">
        <w:t>793 F.3d 1268</w:t>
      </w:r>
      <w:r>
        <w:t>, 1278-79 (Fed. Cir. 2015) (approving the PTO’s use of the broadest reasonable construction standard in AIA proceedings).</w:t>
      </w:r>
    </w:p>
  </w:footnote>
  <w:footnote w:id="114">
    <w:p w14:paraId="4EF7EA46" w14:textId="70085C7C" w:rsidR="0012014D" w:rsidRPr="00270D81" w:rsidRDefault="0012014D">
      <w:pPr>
        <w:pStyle w:val="FootnoteText"/>
      </w:pPr>
      <w:r>
        <w:rPr>
          <w:rStyle w:val="FootnoteReference"/>
        </w:rPr>
        <w:footnoteRef/>
      </w:r>
      <w:r>
        <w:t xml:space="preserve"> </w:t>
      </w:r>
      <w:r>
        <w:rPr>
          <w:i/>
        </w:rPr>
        <w:t>See, e.g.</w:t>
      </w:r>
      <w:r>
        <w:t>, 35 U.S.C. § 316(d</w:t>
      </w:r>
      <w:proofErr w:type="gramStart"/>
      <w:r>
        <w:t>)(</w:t>
      </w:r>
      <w:proofErr w:type="gramEnd"/>
      <w:r>
        <w:t>1) (allowing the patent owner to file only one motion to amend).</w:t>
      </w:r>
    </w:p>
  </w:footnote>
  <w:footnote w:id="115">
    <w:p w14:paraId="5B120EE3" w14:textId="77B4C09B" w:rsidR="0012014D" w:rsidRPr="001D1C58" w:rsidRDefault="0012014D">
      <w:pPr>
        <w:pStyle w:val="FootnoteText"/>
      </w:pPr>
      <w:r>
        <w:rPr>
          <w:rStyle w:val="FootnoteReference"/>
        </w:rPr>
        <w:footnoteRef/>
      </w:r>
      <w:r>
        <w:t xml:space="preserve"> </w:t>
      </w:r>
      <w:r>
        <w:rPr>
          <w:i/>
        </w:rPr>
        <w:t xml:space="preserve">See </w:t>
      </w:r>
      <w:r>
        <w:t xml:space="preserve">Love &amp; </w:t>
      </w:r>
      <w:proofErr w:type="spellStart"/>
      <w:r>
        <w:t>Ambwani</w:t>
      </w:r>
      <w:proofErr w:type="spellEnd"/>
      <w:r>
        <w:t xml:space="preserve">, </w:t>
      </w:r>
      <w:r>
        <w:rPr>
          <w:i/>
        </w:rPr>
        <w:t>supra</w:t>
      </w:r>
      <w:r>
        <w:t xml:space="preserve"> note </w:t>
      </w:r>
      <w:r>
        <w:fldChar w:fldCharType="begin"/>
      </w:r>
      <w:r>
        <w:instrText xml:space="preserve"> NOTEREF _Ref300404077 \h </w:instrText>
      </w:r>
      <w:r>
        <w:fldChar w:fldCharType="separate"/>
      </w:r>
      <w:r w:rsidR="00EF4990">
        <w:t>6</w:t>
      </w:r>
      <w:r>
        <w:fldChar w:fldCharType="end"/>
      </w:r>
      <w:r>
        <w:t xml:space="preserve">, at 102 (reporting that the PTAB granted only one motion to amend in the first eighteen months of the inter </w:t>
      </w:r>
      <w:proofErr w:type="spellStart"/>
      <w:r>
        <w:t>partes</w:t>
      </w:r>
      <w:proofErr w:type="spellEnd"/>
      <w:r>
        <w:t xml:space="preserve"> review program).  It should be noted that the PTAB has recently taken steps that appear to make amendments easier, such as increasing the page limits on motions to amend, Amendments to the Rules of Practice for Trials Before the Patent Trial and Appeal Board, 80 Fed. Reg. 28,561, 28,562 (May 19, 2015) (to be codified at 37 C.F.R. § 42.24(a)), and narrowing the scope of prior art that patent holders must distinguish to prove the patentability of amended claims, </w:t>
      </w:r>
      <w:r>
        <w:rPr>
          <w:i/>
        </w:rPr>
        <w:t xml:space="preserve">see </w:t>
      </w:r>
      <w:proofErr w:type="spellStart"/>
      <w:r>
        <w:t>MasterImage</w:t>
      </w:r>
      <w:proofErr w:type="spellEnd"/>
      <w:r>
        <w:t xml:space="preserve"> 3D, Inc. v. </w:t>
      </w:r>
      <w:proofErr w:type="spellStart"/>
      <w:r>
        <w:t>Reald</w:t>
      </w:r>
      <w:proofErr w:type="spellEnd"/>
      <w:r>
        <w:t xml:space="preserve"> Inc., No. IPR2015-40, slip op. at 3 (P.T.A.B. July 15, 2015). </w:t>
      </w:r>
    </w:p>
  </w:footnote>
  <w:footnote w:id="116">
    <w:p w14:paraId="638AE4C2" w14:textId="671FC6E3" w:rsidR="0012014D" w:rsidRDefault="0012014D">
      <w:pPr>
        <w:pStyle w:val="FootnoteText"/>
      </w:pPr>
      <w:r>
        <w:rPr>
          <w:rStyle w:val="FootnoteReference"/>
        </w:rPr>
        <w:footnoteRef/>
      </w:r>
      <w:r>
        <w:t xml:space="preserve"> </w:t>
      </w:r>
      <w:r w:rsidRPr="00095DBC">
        <w:t>135 S. Ct</w:t>
      </w:r>
      <w:r>
        <w:t>. 1293, 1299 (2015).</w:t>
      </w:r>
      <w:r w:rsidRPr="00095DBC">
        <w:t xml:space="preserve"> </w:t>
      </w:r>
    </w:p>
  </w:footnote>
  <w:footnote w:id="117">
    <w:p w14:paraId="49BF9263" w14:textId="77777777" w:rsidR="0012014D" w:rsidRPr="00095DBC" w:rsidRDefault="0012014D" w:rsidP="00D22E7E">
      <w:pPr>
        <w:pStyle w:val="FootnoteText"/>
      </w:pPr>
      <w:r>
        <w:rPr>
          <w:rStyle w:val="FootnoteReference"/>
        </w:rPr>
        <w:footnoteRef/>
      </w:r>
      <w:r>
        <w:t xml:space="preserve"> </w:t>
      </w:r>
      <w:r>
        <w:rPr>
          <w:i/>
        </w:rPr>
        <w:t xml:space="preserve">See </w:t>
      </w:r>
      <w:r w:rsidRPr="00095DBC">
        <w:rPr>
          <w:smallCaps/>
        </w:rPr>
        <w:t>Restatement (Second) of Judgments</w:t>
      </w:r>
      <w:r>
        <w:t xml:space="preserve"> § 27 </w:t>
      </w:r>
      <w:proofErr w:type="spellStart"/>
      <w:r>
        <w:t>cmt</w:t>
      </w:r>
      <w:proofErr w:type="spellEnd"/>
      <w:r>
        <w:t xml:space="preserve">. </w:t>
      </w:r>
      <w:proofErr w:type="gramStart"/>
      <w:r>
        <w:t>c</w:t>
      </w:r>
      <w:proofErr w:type="gramEnd"/>
      <w:r>
        <w:t xml:space="preserve">, § 28 </w:t>
      </w:r>
      <w:proofErr w:type="spellStart"/>
      <w:r>
        <w:t>cmt</w:t>
      </w:r>
      <w:proofErr w:type="spellEnd"/>
      <w:r>
        <w:t xml:space="preserve">. </w:t>
      </w:r>
      <w:proofErr w:type="gramStart"/>
      <w:r>
        <w:t>f</w:t>
      </w:r>
      <w:proofErr w:type="gramEnd"/>
      <w:r>
        <w:t xml:space="preserve"> (1982).</w:t>
      </w:r>
    </w:p>
  </w:footnote>
  <w:footnote w:id="118">
    <w:p w14:paraId="1827CA08" w14:textId="798EC6E4" w:rsidR="0012014D" w:rsidRPr="00D22E7E" w:rsidRDefault="0012014D">
      <w:pPr>
        <w:pStyle w:val="FootnoteText"/>
        <w:rPr>
          <w:i/>
        </w:rPr>
      </w:pPr>
      <w:r>
        <w:rPr>
          <w:rStyle w:val="FootnoteReference"/>
        </w:rPr>
        <w:footnoteRef/>
      </w:r>
      <w:r>
        <w:t xml:space="preserve"> 135 S. Ct. at 1299.</w:t>
      </w:r>
    </w:p>
  </w:footnote>
  <w:footnote w:id="119">
    <w:p w14:paraId="5BC9C086" w14:textId="05BCC556" w:rsidR="0012014D" w:rsidRPr="007A3768" w:rsidRDefault="0012014D">
      <w:pPr>
        <w:pStyle w:val="FootnoteText"/>
      </w:pPr>
      <w:r>
        <w:rPr>
          <w:rStyle w:val="FootnoteReference"/>
        </w:rPr>
        <w:footnoteRef/>
      </w:r>
      <w:r>
        <w:t xml:space="preserve"> </w:t>
      </w:r>
      <w:r>
        <w:rPr>
          <w:i/>
        </w:rPr>
        <w:t>Id.</w:t>
      </w:r>
      <w:r>
        <w:t xml:space="preserve"> at 1308.</w:t>
      </w:r>
    </w:p>
  </w:footnote>
  <w:footnote w:id="120">
    <w:p w14:paraId="74003FE7" w14:textId="6AA3147F" w:rsidR="0012014D" w:rsidRPr="00894059" w:rsidRDefault="0012014D">
      <w:pPr>
        <w:pStyle w:val="FootnoteText"/>
      </w:pPr>
      <w:r>
        <w:rPr>
          <w:rStyle w:val="FootnoteReference"/>
        </w:rPr>
        <w:footnoteRef/>
      </w:r>
      <w:r>
        <w:t xml:space="preserve"> For further discussion of why court and PTO decisions on patent validity do not satisfy the ordinary elements of issue preclusion, see </w:t>
      </w:r>
      <w:r>
        <w:rPr>
          <w:i/>
        </w:rPr>
        <w:t>infra</w:t>
      </w:r>
      <w:r>
        <w:t xml:space="preserve"> Part III.B.2.  </w:t>
      </w:r>
    </w:p>
  </w:footnote>
  <w:footnote w:id="121">
    <w:p w14:paraId="7D312BFD" w14:textId="122A0CF2" w:rsidR="0012014D" w:rsidRPr="00202FA8" w:rsidRDefault="0012014D" w:rsidP="00C779D8">
      <w:pPr>
        <w:pStyle w:val="FootnoteText"/>
      </w:pPr>
      <w:r>
        <w:rPr>
          <w:rStyle w:val="FootnoteReference"/>
        </w:rPr>
        <w:footnoteRef/>
      </w:r>
      <w:r>
        <w:t xml:space="preserve"> </w:t>
      </w:r>
      <w:r>
        <w:rPr>
          <w:i/>
        </w:rPr>
        <w:t xml:space="preserve">See </w:t>
      </w:r>
      <w:r w:rsidRPr="00CB1545">
        <w:t xml:space="preserve">Ethicon, Inc. v. </w:t>
      </w:r>
      <w:proofErr w:type="spellStart"/>
      <w:r w:rsidRPr="00CB1545">
        <w:t>Quigg</w:t>
      </w:r>
      <w:proofErr w:type="spellEnd"/>
      <w:r w:rsidRPr="00CB1545">
        <w:t>,</w:t>
      </w:r>
      <w:r>
        <w:t xml:space="preserve"> 849 F.2d 1422, 1428-29 &amp; n.3 (Fed. Cir. 1988). </w:t>
      </w:r>
    </w:p>
  </w:footnote>
  <w:footnote w:id="122">
    <w:p w14:paraId="72F7015A" w14:textId="006291AE" w:rsidR="0012014D" w:rsidRDefault="0012014D" w:rsidP="00642A5E">
      <w:pPr>
        <w:pStyle w:val="FootnoteText"/>
      </w:pPr>
      <w:r>
        <w:rPr>
          <w:rStyle w:val="FootnoteReference"/>
        </w:rPr>
        <w:footnoteRef/>
      </w:r>
      <w:r>
        <w:t xml:space="preserve"> 35 U.S.C. §§ 315(e</w:t>
      </w:r>
      <w:proofErr w:type="gramStart"/>
      <w:r>
        <w:t>)(</w:t>
      </w:r>
      <w:proofErr w:type="gramEnd"/>
      <w:r>
        <w:t xml:space="preserve">2), 325(e)(2); </w:t>
      </w:r>
      <w:r w:rsidRPr="00AD0360">
        <w:t>America Invents Ac</w:t>
      </w:r>
      <w:r>
        <w:t>t, Pub. L. No. 112-29, § 18(a</w:t>
      </w:r>
      <w:proofErr w:type="gramStart"/>
      <w:r>
        <w:t>)(</w:t>
      </w:r>
      <w:proofErr w:type="gramEnd"/>
      <w:r>
        <w:t xml:space="preserve">1)(D), 125 Stat. 284, 330 </w:t>
      </w:r>
      <w:r w:rsidRPr="00AD0360">
        <w:t>(2011)</w:t>
      </w:r>
      <w:r>
        <w:t>.</w:t>
      </w:r>
    </w:p>
  </w:footnote>
  <w:footnote w:id="123">
    <w:p w14:paraId="768B6A34" w14:textId="3400577F" w:rsidR="0012014D" w:rsidRPr="006A6DA2" w:rsidRDefault="0012014D">
      <w:pPr>
        <w:pStyle w:val="FootnoteText"/>
      </w:pPr>
      <w:r>
        <w:rPr>
          <w:rStyle w:val="FootnoteReference"/>
        </w:rPr>
        <w:footnoteRef/>
      </w:r>
      <w:r>
        <w:t xml:space="preserve"> </w:t>
      </w:r>
      <w:r>
        <w:rPr>
          <w:i/>
        </w:rPr>
        <w:t>See supra</w:t>
      </w:r>
      <w:r>
        <w:t xml:space="preserve"> note </w:t>
      </w:r>
      <w:r>
        <w:fldChar w:fldCharType="begin"/>
      </w:r>
      <w:r>
        <w:instrText xml:space="preserve"> NOTEREF _Ref300835528 \h </w:instrText>
      </w:r>
      <w:r>
        <w:fldChar w:fldCharType="separate"/>
      </w:r>
      <w:r w:rsidR="00EF4990">
        <w:t>42</w:t>
      </w:r>
      <w:r>
        <w:fldChar w:fldCharType="end"/>
      </w:r>
      <w:r>
        <w:t xml:space="preserve"> and accompanying text.</w:t>
      </w:r>
    </w:p>
  </w:footnote>
  <w:footnote w:id="124">
    <w:p w14:paraId="6B7D9149" w14:textId="6B3906CD" w:rsidR="0012014D" w:rsidRPr="00642A5E" w:rsidRDefault="0012014D" w:rsidP="00582009">
      <w:pPr>
        <w:pStyle w:val="FootnoteText"/>
      </w:pPr>
      <w:r>
        <w:rPr>
          <w:rStyle w:val="FootnoteReference"/>
        </w:rPr>
        <w:footnoteRef/>
      </w:r>
      <w:r>
        <w:t xml:space="preserve"> </w:t>
      </w:r>
      <w:r>
        <w:rPr>
          <w:i/>
        </w:rPr>
        <w:t>See, e.g.</w:t>
      </w:r>
      <w:r>
        <w:t xml:space="preserve">, </w:t>
      </w:r>
      <w:proofErr w:type="spellStart"/>
      <w:r>
        <w:t>Edizone</w:t>
      </w:r>
      <w:proofErr w:type="spellEnd"/>
      <w:r>
        <w:t>, LC v. Cloud Nine, LLC, 505 F. Supp. 2d 1226, 1230 (D. Utah 2007).</w:t>
      </w:r>
    </w:p>
  </w:footnote>
  <w:footnote w:id="125">
    <w:p w14:paraId="3782B2BC" w14:textId="1A3C15DE" w:rsidR="0012014D" w:rsidRPr="00CA4368" w:rsidRDefault="0012014D" w:rsidP="00582009">
      <w:pPr>
        <w:pStyle w:val="FootnoteText"/>
      </w:pPr>
      <w:r>
        <w:rPr>
          <w:rStyle w:val="FootnoteReference"/>
        </w:rPr>
        <w:footnoteRef/>
      </w:r>
      <w:r>
        <w:t xml:space="preserve"> </w:t>
      </w:r>
      <w:r w:rsidRPr="00A63DAF">
        <w:t>Am. Hoist &amp; Derrick Co. v. Sowa &amp; Sons, Inc., 725 F</w:t>
      </w:r>
      <w:r>
        <w:t>.2d 1350, 1364 (Fed. Cir. 1984).</w:t>
      </w:r>
    </w:p>
  </w:footnote>
  <w:footnote w:id="126">
    <w:p w14:paraId="70249955" w14:textId="34F35D8D" w:rsidR="0012014D" w:rsidRDefault="0012014D">
      <w:pPr>
        <w:pStyle w:val="FootnoteText"/>
      </w:pPr>
      <w:r>
        <w:rPr>
          <w:rStyle w:val="FootnoteReference"/>
        </w:rPr>
        <w:footnoteRef/>
      </w:r>
      <w:r>
        <w:t xml:space="preserve"> Interconnect Planning Corp. v. </w:t>
      </w:r>
      <w:proofErr w:type="spellStart"/>
      <w:r>
        <w:t>Feil</w:t>
      </w:r>
      <w:proofErr w:type="spellEnd"/>
      <w:r>
        <w:t>, 774 F.2d 1132, 1139 (Fed. Cir. 1985).</w:t>
      </w:r>
    </w:p>
  </w:footnote>
  <w:footnote w:id="127">
    <w:p w14:paraId="58788D5A" w14:textId="473EB894" w:rsidR="0012014D" w:rsidRPr="00B33BA0" w:rsidRDefault="0012014D" w:rsidP="003B56AB">
      <w:pPr>
        <w:pStyle w:val="FootnoteText"/>
      </w:pPr>
      <w:r>
        <w:rPr>
          <w:rStyle w:val="FootnoteReference"/>
        </w:rPr>
        <w:footnoteRef/>
      </w:r>
      <w:r>
        <w:t xml:space="preserve"> </w:t>
      </w:r>
      <w:r>
        <w:rPr>
          <w:i/>
        </w:rPr>
        <w:t>See generally</w:t>
      </w:r>
      <w:r>
        <w:t xml:space="preserve"> </w:t>
      </w:r>
      <w:proofErr w:type="spellStart"/>
      <w:r>
        <w:t>Tun</w:t>
      </w:r>
      <w:proofErr w:type="spellEnd"/>
      <w:r>
        <w:t xml:space="preserve">-Jen Chiang, </w:t>
      </w:r>
      <w:r>
        <w:rPr>
          <w:i/>
        </w:rPr>
        <w:t xml:space="preserve">The Advantages of </w:t>
      </w:r>
      <w:r>
        <w:t xml:space="preserve">Inter </w:t>
      </w:r>
      <w:proofErr w:type="spellStart"/>
      <w:r>
        <w:t>Partes</w:t>
      </w:r>
      <w:proofErr w:type="spellEnd"/>
      <w:r>
        <w:t xml:space="preserve"> </w:t>
      </w:r>
      <w:r>
        <w:rPr>
          <w:i/>
        </w:rPr>
        <w:t>Reexamination</w:t>
      </w:r>
      <w:r>
        <w:t xml:space="preserve">, </w:t>
      </w:r>
      <w:proofErr w:type="gramStart"/>
      <w:r>
        <w:t>90</w:t>
      </w:r>
      <w:proofErr w:type="gramEnd"/>
      <w:r>
        <w:t xml:space="preserve"> </w:t>
      </w:r>
      <w:r w:rsidRPr="00336E1E">
        <w:rPr>
          <w:smallCaps/>
        </w:rPr>
        <w:t xml:space="preserve">J. Pat. &amp; </w:t>
      </w:r>
      <w:proofErr w:type="spellStart"/>
      <w:r w:rsidRPr="00336E1E">
        <w:rPr>
          <w:smallCaps/>
        </w:rPr>
        <w:t>Tradmark</w:t>
      </w:r>
      <w:proofErr w:type="spellEnd"/>
      <w:r w:rsidRPr="00336E1E">
        <w:rPr>
          <w:smallCaps/>
        </w:rPr>
        <w:t xml:space="preserve"> Off. </w:t>
      </w:r>
      <w:proofErr w:type="spellStart"/>
      <w:r w:rsidRPr="00336E1E">
        <w:rPr>
          <w:smallCaps/>
        </w:rPr>
        <w:t>Soc’y</w:t>
      </w:r>
      <w:proofErr w:type="spellEnd"/>
      <w:r>
        <w:t xml:space="preserve"> 1, 10 (2008) (arguing that “[w]</w:t>
      </w:r>
      <w:proofErr w:type="spellStart"/>
      <w:r>
        <w:t>hile</w:t>
      </w:r>
      <w:proofErr w:type="spellEnd"/>
      <w:r>
        <w:t xml:space="preserve"> </w:t>
      </w:r>
      <w:r w:rsidRPr="003B56AB">
        <w:rPr>
          <w:i/>
        </w:rPr>
        <w:t>ex parte</w:t>
      </w:r>
      <w:r>
        <w:t xml:space="preserve"> reexamination does not create litigation estoppel </w:t>
      </w:r>
      <w:r w:rsidRPr="003B56AB">
        <w:rPr>
          <w:i/>
        </w:rPr>
        <w:t>de facto</w:t>
      </w:r>
      <w:r>
        <w:t xml:space="preserve">, it comes fairly close to doing so”); Janis, </w:t>
      </w:r>
      <w:r>
        <w:rPr>
          <w:i/>
        </w:rPr>
        <w:t>supra</w:t>
      </w:r>
      <w:r>
        <w:t xml:space="preserve"> note </w:t>
      </w:r>
      <w:r>
        <w:fldChar w:fldCharType="begin"/>
      </w:r>
      <w:r>
        <w:instrText xml:space="preserve"> NOTEREF _Ref300404028 \h </w:instrText>
      </w:r>
      <w:r>
        <w:fldChar w:fldCharType="separate"/>
      </w:r>
      <w:r w:rsidR="00EF4990">
        <w:t>48</w:t>
      </w:r>
      <w:r>
        <w:fldChar w:fldCharType="end"/>
      </w:r>
      <w:r>
        <w:t>, at 82 n.355 (noting that “the presumption of validity, while not technically ‘strengthened’ during reexamination . . . may be harder to overcome as to claims that have been tested by reexamination”).</w:t>
      </w:r>
    </w:p>
  </w:footnote>
  <w:footnote w:id="128">
    <w:p w14:paraId="64EE0F92" w14:textId="69B3C108" w:rsidR="0012014D" w:rsidRPr="00D058A6" w:rsidRDefault="0012014D">
      <w:pPr>
        <w:pStyle w:val="FootnoteText"/>
      </w:pPr>
      <w:r>
        <w:rPr>
          <w:rStyle w:val="FootnoteReference"/>
        </w:rPr>
        <w:footnoteRef/>
      </w:r>
      <w:r>
        <w:t xml:space="preserve"> </w:t>
      </w:r>
      <w:r>
        <w:rPr>
          <w:i/>
        </w:rPr>
        <w:t>E.g.</w:t>
      </w:r>
      <w:r>
        <w:t>, 35 U.S.C. § 315(e</w:t>
      </w:r>
      <w:proofErr w:type="gramStart"/>
      <w:r>
        <w:t>)(</w:t>
      </w:r>
      <w:proofErr w:type="gramEnd"/>
      <w:r>
        <w:t>2).</w:t>
      </w:r>
    </w:p>
  </w:footnote>
  <w:footnote w:id="129">
    <w:p w14:paraId="6021C466" w14:textId="4BD3BCB3" w:rsidR="0012014D" w:rsidRPr="007A7AD7" w:rsidRDefault="0012014D" w:rsidP="00A27650">
      <w:pPr>
        <w:pStyle w:val="FootnoteText"/>
      </w:pPr>
      <w:r>
        <w:rPr>
          <w:rStyle w:val="FootnoteReference"/>
        </w:rPr>
        <w:footnoteRef/>
      </w:r>
      <w:r>
        <w:t xml:space="preserve"> </w:t>
      </w:r>
      <w:r>
        <w:rPr>
          <w:i/>
        </w:rPr>
        <w:t>See, e.g.</w:t>
      </w:r>
      <w:r>
        <w:t xml:space="preserve">, </w:t>
      </w:r>
      <w:proofErr w:type="spellStart"/>
      <w:r>
        <w:t>StoneEagle</w:t>
      </w:r>
      <w:proofErr w:type="spellEnd"/>
      <w:r>
        <w:t xml:space="preserve"> </w:t>
      </w:r>
      <w:proofErr w:type="spellStart"/>
      <w:r>
        <w:t>Servs</w:t>
      </w:r>
      <w:proofErr w:type="spellEnd"/>
      <w:r>
        <w:t>., Inc. v. Pay-Plus Solutions, Inc., No. 8:13-CV-2240, 2015 WL 3824208, at *9 (M.D. Fla. June 19, 2015).</w:t>
      </w:r>
    </w:p>
  </w:footnote>
  <w:footnote w:id="130">
    <w:p w14:paraId="3450E68D" w14:textId="34CDB951" w:rsidR="0012014D" w:rsidRPr="008C557B" w:rsidRDefault="0012014D" w:rsidP="008C557B">
      <w:pPr>
        <w:pStyle w:val="FootnoteText"/>
      </w:pPr>
      <w:r>
        <w:rPr>
          <w:rStyle w:val="FootnoteReference"/>
        </w:rPr>
        <w:footnoteRef/>
      </w:r>
      <w:r>
        <w:t xml:space="preserve"> </w:t>
      </w:r>
      <w:r>
        <w:rPr>
          <w:i/>
        </w:rPr>
        <w:t>E.g.</w:t>
      </w:r>
      <w:r>
        <w:t>,</w:t>
      </w:r>
      <w:r>
        <w:rPr>
          <w:i/>
        </w:rPr>
        <w:t xml:space="preserve"> </w:t>
      </w:r>
      <w:proofErr w:type="spellStart"/>
      <w:r>
        <w:t>Ultratec</w:t>
      </w:r>
      <w:proofErr w:type="spellEnd"/>
      <w:r>
        <w:t xml:space="preserve">, Inc. v. Sorenson </w:t>
      </w:r>
      <w:proofErr w:type="spellStart"/>
      <w:r>
        <w:t>Commc’ns</w:t>
      </w:r>
      <w:proofErr w:type="spellEnd"/>
      <w:r>
        <w:t xml:space="preserve">, Inc., No. 13-CV-34, 2014 WL 5023098, at *2 (W.D. Wis. Oct. 8, 2014); </w:t>
      </w:r>
      <w:r>
        <w:rPr>
          <w:i/>
        </w:rPr>
        <w:t>see also</w:t>
      </w:r>
      <w:r>
        <w:t xml:space="preserve"> Wis. Alumni Res. Found. v. Apple, Inc., --- F. Supp. 3d ---, No. 14-CV-62, 2015 WL 5704356, at *7 (W.D. Wis. Sept. 29, 2015) (collecting conflicting decisions).</w:t>
      </w:r>
    </w:p>
  </w:footnote>
  <w:footnote w:id="131">
    <w:p w14:paraId="1C2E44F9" w14:textId="1656F6EA" w:rsidR="0012014D" w:rsidRPr="00494985" w:rsidRDefault="0012014D" w:rsidP="00494985">
      <w:pPr>
        <w:pStyle w:val="FootnoteText"/>
        <w:rPr>
          <w:i/>
        </w:rPr>
      </w:pPr>
      <w:r>
        <w:rPr>
          <w:rStyle w:val="FootnoteReference"/>
        </w:rPr>
        <w:footnoteRef/>
      </w:r>
      <w:r>
        <w:t xml:space="preserve"> </w:t>
      </w:r>
      <w:r>
        <w:rPr>
          <w:i/>
        </w:rPr>
        <w:t xml:space="preserve">In re </w:t>
      </w:r>
      <w:r>
        <w:t xml:space="preserve">Trans Texas Holdings Corp. 498 F.3d 1290, 1297 (Fed. Cir. 2007).  </w:t>
      </w:r>
    </w:p>
  </w:footnote>
  <w:footnote w:id="132">
    <w:p w14:paraId="44F981FB" w14:textId="4367E569" w:rsidR="0012014D" w:rsidRDefault="0012014D">
      <w:pPr>
        <w:pStyle w:val="FootnoteText"/>
      </w:pPr>
      <w:r>
        <w:rPr>
          <w:rStyle w:val="FootnoteReference"/>
        </w:rPr>
        <w:footnoteRef/>
      </w:r>
      <w:r>
        <w:t xml:space="preserve"> </w:t>
      </w:r>
      <w:r w:rsidRPr="00A36B9F">
        <w:rPr>
          <w:i/>
        </w:rPr>
        <w:t>In re</w:t>
      </w:r>
      <w:r>
        <w:t xml:space="preserve"> Freeman, 30 F.3d 1459, 1469 (Fed. Cir. 1994).</w:t>
      </w:r>
    </w:p>
  </w:footnote>
  <w:footnote w:id="133">
    <w:p w14:paraId="5B825281" w14:textId="2A7FEE7D" w:rsidR="0012014D" w:rsidRPr="00222552" w:rsidRDefault="0012014D" w:rsidP="00883979">
      <w:pPr>
        <w:pStyle w:val="FootnoteText"/>
      </w:pPr>
      <w:r>
        <w:rPr>
          <w:rStyle w:val="FootnoteReference"/>
        </w:rPr>
        <w:footnoteRef/>
      </w:r>
      <w:r>
        <w:t xml:space="preserve"> </w:t>
      </w:r>
      <w:r>
        <w:rPr>
          <w:i/>
        </w:rPr>
        <w:t>See, e.g.</w:t>
      </w:r>
      <w:r>
        <w:t xml:space="preserve">, </w:t>
      </w:r>
      <w:proofErr w:type="spellStart"/>
      <w:r>
        <w:t>Veeam</w:t>
      </w:r>
      <w:proofErr w:type="spellEnd"/>
      <w:r>
        <w:t xml:space="preserve"> Software Corp. v. Symantec Corp., No. IPR2013-150, 2013 WL 8595506, at *3 (P.T.A.B. Aug. 7, 2013).</w:t>
      </w:r>
    </w:p>
  </w:footnote>
  <w:footnote w:id="134">
    <w:p w14:paraId="31A3F329" w14:textId="5D28A1AE" w:rsidR="0012014D" w:rsidRPr="0063306A" w:rsidRDefault="0012014D" w:rsidP="00883979">
      <w:pPr>
        <w:pStyle w:val="FootnoteText"/>
      </w:pPr>
      <w:r>
        <w:rPr>
          <w:rStyle w:val="FootnoteReference"/>
        </w:rPr>
        <w:footnoteRef/>
      </w:r>
      <w:r>
        <w:t xml:space="preserve"> </w:t>
      </w:r>
      <w:r>
        <w:rPr>
          <w:i/>
        </w:rPr>
        <w:t>See, e.g.</w:t>
      </w:r>
      <w:r>
        <w:t xml:space="preserve">, Google Inc. v. </w:t>
      </w:r>
      <w:proofErr w:type="spellStart"/>
      <w:r>
        <w:t>Simpleair</w:t>
      </w:r>
      <w:proofErr w:type="spellEnd"/>
      <w:r>
        <w:t xml:space="preserve">, Inc., No. IPR2015-180, 2015 WL 2159342, at *6 (P.T.A.B. May 5, 2015).  </w:t>
      </w:r>
    </w:p>
  </w:footnote>
  <w:footnote w:id="135">
    <w:p w14:paraId="6CD0B797" w14:textId="5C49D9EF" w:rsidR="0012014D" w:rsidRPr="00B6387A" w:rsidRDefault="0012014D" w:rsidP="00B6387A">
      <w:pPr>
        <w:pStyle w:val="FootnoteText"/>
      </w:pPr>
      <w:r>
        <w:rPr>
          <w:rStyle w:val="FootnoteReference"/>
        </w:rPr>
        <w:footnoteRef/>
      </w:r>
      <w:r>
        <w:t xml:space="preserve"> </w:t>
      </w:r>
      <w:r>
        <w:rPr>
          <w:i/>
        </w:rPr>
        <w:t>See, e.g.</w:t>
      </w:r>
      <w:r>
        <w:t xml:space="preserve">, SAP Am., Inc. v. </w:t>
      </w:r>
      <w:proofErr w:type="spellStart"/>
      <w:r>
        <w:t>Versata</w:t>
      </w:r>
      <w:proofErr w:type="spellEnd"/>
      <w:r>
        <w:t xml:space="preserve"> Dev. Grp., Inc., No. CBM2012-1, </w:t>
      </w:r>
      <w:r w:rsidRPr="00B6387A">
        <w:t>2013 WL 3167735</w:t>
      </w:r>
      <w:r>
        <w:t>, at *13 (P.T.A.B. June 11, 2013).</w:t>
      </w:r>
    </w:p>
  </w:footnote>
  <w:footnote w:id="136">
    <w:p w14:paraId="0FB9DBD8" w14:textId="2551C4C2" w:rsidR="0012014D" w:rsidRPr="00354FBA" w:rsidRDefault="0012014D" w:rsidP="00361D51">
      <w:pPr>
        <w:pStyle w:val="FootnoteText"/>
      </w:pPr>
      <w:r>
        <w:rPr>
          <w:rStyle w:val="FootnoteReference"/>
        </w:rPr>
        <w:footnoteRef/>
      </w:r>
      <w:r>
        <w:t xml:space="preserve"> </w:t>
      </w:r>
      <w:r>
        <w:rPr>
          <w:i/>
        </w:rPr>
        <w:t>See, e.g.</w:t>
      </w:r>
      <w:r>
        <w:t xml:space="preserve">, Va. Innovation Sci., Inc. v. Samsung </w:t>
      </w:r>
      <w:proofErr w:type="spellStart"/>
      <w:r>
        <w:t>Elecs</w:t>
      </w:r>
      <w:proofErr w:type="spellEnd"/>
      <w:r>
        <w:t xml:space="preserve">. Co., 983 F. Supp. 2d 713, 767 (E.D. Va. 2014), </w:t>
      </w:r>
      <w:r w:rsidRPr="00361D51">
        <w:rPr>
          <w:i/>
        </w:rPr>
        <w:t>vacated on other grounds</w:t>
      </w:r>
      <w:r>
        <w:t xml:space="preserve">, No. 2014-1477, </w:t>
      </w:r>
      <w:r w:rsidRPr="00A0382A">
        <w:t>2015 WL 3555700</w:t>
      </w:r>
      <w:r>
        <w:t xml:space="preserve"> (Fed. Cir. June 9, 2015).</w:t>
      </w:r>
    </w:p>
  </w:footnote>
  <w:footnote w:id="137">
    <w:p w14:paraId="5418F25F" w14:textId="515B4D7C" w:rsidR="0012014D" w:rsidRPr="00A5428A" w:rsidRDefault="0012014D" w:rsidP="00A5428A">
      <w:pPr>
        <w:pStyle w:val="FootnoteText"/>
      </w:pPr>
      <w:r>
        <w:rPr>
          <w:rStyle w:val="FootnoteReference"/>
        </w:rPr>
        <w:footnoteRef/>
      </w:r>
      <w:r>
        <w:t xml:space="preserve"> </w:t>
      </w:r>
      <w:r>
        <w:rPr>
          <w:i/>
        </w:rPr>
        <w:t xml:space="preserve">E.g., </w:t>
      </w:r>
      <w:r w:rsidRPr="00361D51">
        <w:t xml:space="preserve">Black Hills Media, LLC v. Pioneer </w:t>
      </w:r>
      <w:proofErr w:type="spellStart"/>
      <w:r w:rsidRPr="00361D51">
        <w:t>Elec</w:t>
      </w:r>
      <w:r>
        <w:t>s</w:t>
      </w:r>
      <w:proofErr w:type="spellEnd"/>
      <w:r>
        <w:t xml:space="preserve">. </w:t>
      </w:r>
      <w:r w:rsidRPr="00361D51">
        <w:t>USA</w:t>
      </w:r>
      <w:r>
        <w:t xml:space="preserve"> Inc., No. CV14-</w:t>
      </w:r>
      <w:r w:rsidRPr="00361D51">
        <w:t>471</w:t>
      </w:r>
      <w:r>
        <w:t>,</w:t>
      </w:r>
      <w:r w:rsidRPr="00361D51">
        <w:t xml:space="preserve"> 2014 WL 4638170, at *6 (C.D. Cal. May 8, 2014)</w:t>
      </w:r>
      <w:r>
        <w:t xml:space="preserve">; </w:t>
      </w:r>
      <w:r>
        <w:rPr>
          <w:i/>
        </w:rPr>
        <w:t xml:space="preserve">see also </w:t>
      </w:r>
      <w:proofErr w:type="spellStart"/>
      <w:r>
        <w:t>SurfCast</w:t>
      </w:r>
      <w:proofErr w:type="spellEnd"/>
      <w:r>
        <w:t xml:space="preserve">, Inc. v. Microsoft Corp., 6 F. Supp. 3d 136, 142 (D. Me. 2014) (“The PTO’s construction is persuasive but not binding on this Court.”).    </w:t>
      </w:r>
      <w:r>
        <w:rPr>
          <w:i/>
        </w:rPr>
        <w:t>But see, e.g.</w:t>
      </w:r>
      <w:r>
        <w:t xml:space="preserve">, </w:t>
      </w:r>
      <w:proofErr w:type="spellStart"/>
      <w:r>
        <w:t>Smartflash</w:t>
      </w:r>
      <w:proofErr w:type="spellEnd"/>
      <w:r>
        <w:t xml:space="preserve"> LLC v. Apple, Inc., No. 6:13-CV-447, 2014 WL 3366661, at *4 (E.D. Tex. July 8, 2014) (“It is . . . unlikely that the claim construction aspect of the [covered business method] review would significantly simplify the issues before the Court because [t]he PTAB and district courts construe claims under different standards.”).</w:t>
      </w:r>
    </w:p>
  </w:footnote>
  <w:footnote w:id="138">
    <w:p w14:paraId="75C43EED" w14:textId="76CB73B3" w:rsidR="0012014D" w:rsidRPr="00214165" w:rsidRDefault="0012014D" w:rsidP="002C0A47">
      <w:pPr>
        <w:pStyle w:val="FootnoteText"/>
      </w:pPr>
      <w:r>
        <w:rPr>
          <w:rStyle w:val="FootnoteReference"/>
        </w:rPr>
        <w:footnoteRef/>
      </w:r>
      <w:r>
        <w:t xml:space="preserve"> </w:t>
      </w:r>
      <w:r>
        <w:rPr>
          <w:i/>
        </w:rPr>
        <w:t>See, e.g.</w:t>
      </w:r>
      <w:r>
        <w:t>, Xerox Corp. v. 3Com Corp., 267 F.3d 1361, 1366 (Fed. Cir. 2001).</w:t>
      </w:r>
    </w:p>
  </w:footnote>
  <w:footnote w:id="139">
    <w:p w14:paraId="3CFB355F" w14:textId="159FE4F9" w:rsidR="0012014D" w:rsidRPr="00AF2325" w:rsidRDefault="0012014D">
      <w:pPr>
        <w:pStyle w:val="FootnoteText"/>
      </w:pPr>
      <w:r>
        <w:rPr>
          <w:rStyle w:val="FootnoteReference"/>
        </w:rPr>
        <w:footnoteRef/>
      </w:r>
      <w:r>
        <w:t xml:space="preserve"> To be clear, when the opposite happens—that is, the PTO rejects a challenge to invalidity but a court invalidates the patent—there is no uncertainty about the patent’s legal status.  It is invalid as against the entire world under </w:t>
      </w:r>
      <w:r>
        <w:rPr>
          <w:i/>
        </w:rPr>
        <w:t>Blonder-Tongue</w:t>
      </w:r>
      <w:r>
        <w:t xml:space="preserve">.  </w:t>
      </w:r>
      <w:r>
        <w:rPr>
          <w:i/>
        </w:rPr>
        <w:t>See supra</w:t>
      </w:r>
      <w:r>
        <w:t xml:space="preserve"> notes </w:t>
      </w:r>
      <w:r>
        <w:fldChar w:fldCharType="begin"/>
      </w:r>
      <w:r>
        <w:instrText xml:space="preserve"> NOTEREF _Ref430708544 \h </w:instrText>
      </w:r>
      <w:r>
        <w:fldChar w:fldCharType="separate"/>
      </w:r>
      <w:r w:rsidR="00EF4990">
        <w:t>2</w:t>
      </w:r>
      <w:r>
        <w:fldChar w:fldCharType="end"/>
      </w:r>
      <w:r>
        <w:t>-</w:t>
      </w:r>
      <w:r>
        <w:fldChar w:fldCharType="begin"/>
      </w:r>
      <w:r>
        <w:instrText xml:space="preserve"> NOTEREF _Ref432758275 \h </w:instrText>
      </w:r>
      <w:r>
        <w:fldChar w:fldCharType="separate"/>
      </w:r>
      <w:r w:rsidR="00EF4990">
        <w:t>4</w:t>
      </w:r>
      <w:r>
        <w:fldChar w:fldCharType="end"/>
      </w:r>
      <w:r>
        <w:t xml:space="preserve"> and accompanying text.</w:t>
      </w:r>
    </w:p>
  </w:footnote>
  <w:footnote w:id="140">
    <w:p w14:paraId="5965D182" w14:textId="16196A1B" w:rsidR="0012014D" w:rsidRPr="00F42768" w:rsidRDefault="0012014D">
      <w:pPr>
        <w:pStyle w:val="FootnoteText"/>
      </w:pPr>
      <w:r w:rsidRPr="00353EDA">
        <w:rPr>
          <w:rStyle w:val="FootnoteReference"/>
        </w:rPr>
        <w:footnoteRef/>
      </w:r>
      <w:r w:rsidRPr="00353EDA">
        <w:t xml:space="preserve"> </w:t>
      </w:r>
      <w:r>
        <w:t xml:space="preserve">The few scholarly pieces that have explored the question include a recent article critiquing the PTO’s failure to give deference to the Federal Circuit’s resolution of legal (as opposed to factual) questions relevant to patent validity, such as obviousness, Paul M. Janicke, </w:t>
      </w:r>
      <w:r>
        <w:rPr>
          <w:i/>
        </w:rPr>
        <w:t>An Interim Proposal for Fixing Ex Parte Reexamination’s Messy Side</w:t>
      </w:r>
      <w:r>
        <w:t xml:space="preserve">, 4 </w:t>
      </w:r>
      <w:proofErr w:type="spellStart"/>
      <w:r w:rsidRPr="00353EDA">
        <w:rPr>
          <w:smallCaps/>
        </w:rPr>
        <w:t>HLRe</w:t>
      </w:r>
      <w:proofErr w:type="spellEnd"/>
      <w:r>
        <w:rPr>
          <w:smallCaps/>
        </w:rPr>
        <w:t>: Off the Record</w:t>
      </w:r>
      <w:r>
        <w:t xml:space="preserve"> 43 (2013), </w:t>
      </w:r>
      <w:r w:rsidRPr="00353EDA">
        <w:t xml:space="preserve">a student note </w:t>
      </w:r>
      <w:r>
        <w:t>that predates</w:t>
      </w:r>
      <w:r w:rsidRPr="00353EDA">
        <w:t xml:space="preserve"> the Federal Circuit’s recent string of decisions, Betsy Johnson, </w:t>
      </w:r>
      <w:r w:rsidRPr="00353EDA">
        <w:rPr>
          <w:i/>
        </w:rPr>
        <w:t>Plugging the Holes in the Ex Parte Reexamination Statute:  Preventing a Second Bite at the Apple for a Patent Infringer</w:t>
      </w:r>
      <w:r w:rsidRPr="00353EDA">
        <w:t xml:space="preserve">, 55 </w:t>
      </w:r>
      <w:r w:rsidRPr="00353EDA">
        <w:rPr>
          <w:smallCaps/>
        </w:rPr>
        <w:t xml:space="preserve">Cath. U. L. Rev. </w:t>
      </w:r>
      <w:r>
        <w:t xml:space="preserve">304 (2005), and a more </w:t>
      </w:r>
      <w:r w:rsidRPr="00353EDA">
        <w:t xml:space="preserve">recent student note considering how to better coordinate litigation and ex parte reexamination, Christopher </w:t>
      </w:r>
      <w:proofErr w:type="spellStart"/>
      <w:r w:rsidRPr="00353EDA">
        <w:t>Ilardi</w:t>
      </w:r>
      <w:proofErr w:type="spellEnd"/>
      <w:r w:rsidRPr="00353EDA">
        <w:t xml:space="preserve">, </w:t>
      </w:r>
      <w:r w:rsidRPr="00353EDA">
        <w:rPr>
          <w:i/>
        </w:rPr>
        <w:t>The Broken System of Parallel Patent Proceedings:  How to Create a Unified, One-Judgment System</w:t>
      </w:r>
      <w:r w:rsidRPr="00353EDA">
        <w:t xml:space="preserve">, 36 </w:t>
      </w:r>
      <w:r w:rsidRPr="00353EDA">
        <w:rPr>
          <w:smallCaps/>
        </w:rPr>
        <w:t>Cardozo L. Rev.</w:t>
      </w:r>
      <w:r w:rsidRPr="00353EDA">
        <w:t xml:space="preserve"> 2213 (2015).</w:t>
      </w:r>
    </w:p>
  </w:footnote>
  <w:footnote w:id="141">
    <w:p w14:paraId="37BF1086" w14:textId="04909E5F" w:rsidR="0012014D" w:rsidRPr="00881E35" w:rsidRDefault="0012014D" w:rsidP="00216F42">
      <w:pPr>
        <w:pStyle w:val="FootnoteText"/>
      </w:pPr>
      <w:r>
        <w:rPr>
          <w:rStyle w:val="FootnoteReference"/>
        </w:rPr>
        <w:footnoteRef/>
      </w:r>
      <w:r>
        <w:t xml:space="preserve"> Several high-profile cases had the potential to involve inconsistent court and PTO rulings on patent validity, but those cases settled before final resolution.  </w:t>
      </w:r>
      <w:r>
        <w:rPr>
          <w:i/>
        </w:rPr>
        <w:t>See, e.g.</w:t>
      </w:r>
      <w:r>
        <w:t xml:space="preserve">, </w:t>
      </w:r>
      <w:proofErr w:type="spellStart"/>
      <w:r>
        <w:t>MercExchange</w:t>
      </w:r>
      <w:proofErr w:type="spellEnd"/>
      <w:r>
        <w:t xml:space="preserve">, L.L.C. v. eBay, Inc., 500 F. Supp. 2d 556, 560 (E.D. Va. 2007) (noting that the PTO had issued non-final reexamination decisions that the patents, which the district court had found to be infringed, were invalid for obviousness), </w:t>
      </w:r>
      <w:r w:rsidRPr="00216F42">
        <w:rPr>
          <w:i/>
        </w:rPr>
        <w:t>appeal dismissed</w:t>
      </w:r>
      <w:r>
        <w:t xml:space="preserve">, 273 F. </w:t>
      </w:r>
      <w:proofErr w:type="spellStart"/>
      <w:r>
        <w:t>App’x</w:t>
      </w:r>
      <w:proofErr w:type="spellEnd"/>
      <w:r>
        <w:t xml:space="preserve"> 857 (Fed. Cir. 2008); E.I. Du Pont De Nemours &amp; Co. v. Phillips Petroleum Co., 720 F. Supp. 373, 381 (D. Del. 1989) (similar), </w:t>
      </w:r>
      <w:r w:rsidRPr="00216F42">
        <w:rPr>
          <w:i/>
        </w:rPr>
        <w:t>appeal dismissed</w:t>
      </w:r>
      <w:r>
        <w:t xml:space="preserve">, 988 F.2d 129 (Fed. Cir. 1993). </w:t>
      </w:r>
    </w:p>
  </w:footnote>
  <w:footnote w:id="142">
    <w:p w14:paraId="516B8BFB" w14:textId="77777777" w:rsidR="0012014D" w:rsidRDefault="0012014D" w:rsidP="00784884">
      <w:pPr>
        <w:pStyle w:val="FootnoteText"/>
      </w:pPr>
      <w:r>
        <w:rPr>
          <w:rStyle w:val="FootnoteReference"/>
        </w:rPr>
        <w:footnoteRef/>
      </w:r>
      <w:r>
        <w:t xml:space="preserve"> </w:t>
      </w:r>
      <w:r w:rsidRPr="00DB1FE4">
        <w:t xml:space="preserve">996 F.2d 1236 (Fed. Cir. 1993) </w:t>
      </w:r>
      <w:r>
        <w:t>(table).</w:t>
      </w:r>
    </w:p>
  </w:footnote>
  <w:footnote w:id="143">
    <w:p w14:paraId="09390933" w14:textId="77777777" w:rsidR="0012014D" w:rsidRDefault="0012014D" w:rsidP="008401AF">
      <w:pPr>
        <w:pStyle w:val="FootnoteText"/>
      </w:pPr>
      <w:r>
        <w:rPr>
          <w:rStyle w:val="FootnoteReference"/>
        </w:rPr>
        <w:footnoteRef/>
      </w:r>
      <w:r>
        <w:t xml:space="preserve"> Standard Havens </w:t>
      </w:r>
      <w:proofErr w:type="gramStart"/>
      <w:r>
        <w:t>Prods.,</w:t>
      </w:r>
      <w:proofErr w:type="gramEnd"/>
      <w:r>
        <w:t xml:space="preserve"> Inc. v. </w:t>
      </w:r>
      <w:proofErr w:type="spellStart"/>
      <w:r>
        <w:t>Gencor</w:t>
      </w:r>
      <w:proofErr w:type="spellEnd"/>
      <w:r>
        <w:t xml:space="preserve"> Indus., Inc., 810 F. Supp. 1072, 1073 (W.D. Mo. 1993).</w:t>
      </w:r>
    </w:p>
  </w:footnote>
  <w:footnote w:id="144">
    <w:p w14:paraId="089A096A" w14:textId="7828A4AB" w:rsidR="0012014D" w:rsidRPr="008401AF" w:rsidRDefault="0012014D">
      <w:pPr>
        <w:pStyle w:val="FootnoteText"/>
        <w:rPr>
          <w:i/>
        </w:rPr>
      </w:pPr>
      <w:r>
        <w:rPr>
          <w:rStyle w:val="FootnoteReference"/>
        </w:rPr>
        <w:footnoteRef/>
      </w:r>
      <w:r>
        <w:t xml:space="preserve"> </w:t>
      </w:r>
      <w:r>
        <w:rPr>
          <w:i/>
        </w:rPr>
        <w:t>Id.</w:t>
      </w:r>
    </w:p>
  </w:footnote>
  <w:footnote w:id="145">
    <w:p w14:paraId="46B260A0" w14:textId="77777777" w:rsidR="0012014D" w:rsidRDefault="0012014D" w:rsidP="00124DA2">
      <w:pPr>
        <w:pStyle w:val="FootnoteText"/>
      </w:pPr>
      <w:r>
        <w:rPr>
          <w:rStyle w:val="FootnoteReference"/>
        </w:rPr>
        <w:footnoteRef/>
      </w:r>
      <w:r>
        <w:t xml:space="preserve"> Standard Havens </w:t>
      </w:r>
      <w:proofErr w:type="gramStart"/>
      <w:r>
        <w:t>Prods.,</w:t>
      </w:r>
      <w:proofErr w:type="gramEnd"/>
      <w:r>
        <w:t xml:space="preserve"> Inc. v. </w:t>
      </w:r>
      <w:proofErr w:type="spellStart"/>
      <w:r>
        <w:t>Gencor</w:t>
      </w:r>
      <w:proofErr w:type="spellEnd"/>
      <w:r>
        <w:t xml:space="preserve"> Indus., Inc., 953 F.2d 1360, 1376 (Fed. Cir. 1991).</w:t>
      </w:r>
    </w:p>
  </w:footnote>
  <w:footnote w:id="146">
    <w:p w14:paraId="4431B217" w14:textId="52BAB9AC" w:rsidR="0012014D" w:rsidRPr="00985AE7" w:rsidRDefault="0012014D" w:rsidP="00124DA2">
      <w:pPr>
        <w:pStyle w:val="FootnoteText"/>
      </w:pPr>
      <w:r>
        <w:rPr>
          <w:rStyle w:val="FootnoteReference"/>
        </w:rPr>
        <w:footnoteRef/>
      </w:r>
      <w:r>
        <w:t xml:space="preserve"> </w:t>
      </w:r>
      <w:r>
        <w:rPr>
          <w:i/>
        </w:rPr>
        <w:t xml:space="preserve">Id. </w:t>
      </w:r>
      <w:r>
        <w:t>at 1366.</w:t>
      </w:r>
    </w:p>
  </w:footnote>
  <w:footnote w:id="147">
    <w:p w14:paraId="4189FFA3" w14:textId="77777777" w:rsidR="0012014D" w:rsidRPr="00831490" w:rsidRDefault="0012014D" w:rsidP="00124DA2">
      <w:pPr>
        <w:pStyle w:val="FootnoteText"/>
      </w:pPr>
      <w:r>
        <w:rPr>
          <w:rStyle w:val="FootnoteReference"/>
        </w:rPr>
        <w:footnoteRef/>
      </w:r>
      <w:r>
        <w:t xml:space="preserve"> </w:t>
      </w:r>
      <w:r>
        <w:rPr>
          <w:i/>
        </w:rPr>
        <w:t>Standard Havens</w:t>
      </w:r>
      <w:r>
        <w:t>, 810 F. Supp. at 1073.</w:t>
      </w:r>
    </w:p>
  </w:footnote>
  <w:footnote w:id="148">
    <w:p w14:paraId="6620DD8A" w14:textId="7D6E1728" w:rsidR="0012014D" w:rsidRPr="00442F29" w:rsidRDefault="0012014D" w:rsidP="00124DA2">
      <w:pPr>
        <w:pStyle w:val="FootnoteText"/>
      </w:pPr>
      <w:r>
        <w:rPr>
          <w:rStyle w:val="FootnoteReference"/>
        </w:rPr>
        <w:footnoteRef/>
      </w:r>
      <w:r>
        <w:t xml:space="preserve"> </w:t>
      </w:r>
      <w:r>
        <w:rPr>
          <w:i/>
        </w:rPr>
        <w:t xml:space="preserve">Id.  </w:t>
      </w:r>
      <w:r>
        <w:t xml:space="preserve">After the America Invents Act, it is no longer possible to challenge the PTO’s reexamination decisions through a civil suit; the only route for appeal is to the Federal Circuit.  </w:t>
      </w:r>
      <w:r>
        <w:rPr>
          <w:i/>
        </w:rPr>
        <w:t xml:space="preserve">See </w:t>
      </w:r>
      <w:r>
        <w:t xml:space="preserve">35 U.S.C. § 141(b).  </w:t>
      </w:r>
    </w:p>
  </w:footnote>
  <w:footnote w:id="149">
    <w:p w14:paraId="15DFE25C" w14:textId="1B5DDC18" w:rsidR="0012014D" w:rsidRPr="001C5592" w:rsidRDefault="0012014D" w:rsidP="00124DA2">
      <w:pPr>
        <w:pStyle w:val="FootnoteText"/>
      </w:pPr>
      <w:r>
        <w:rPr>
          <w:rStyle w:val="FootnoteReference"/>
        </w:rPr>
        <w:footnoteRef/>
      </w:r>
      <w:r>
        <w:t xml:space="preserve"> </w:t>
      </w:r>
      <w:r>
        <w:rPr>
          <w:i/>
        </w:rPr>
        <w:t>Standard Havens</w:t>
      </w:r>
      <w:r>
        <w:t>, 810 F. Supp. at 1073.</w:t>
      </w:r>
    </w:p>
  </w:footnote>
  <w:footnote w:id="150">
    <w:p w14:paraId="766E6C02" w14:textId="33864416" w:rsidR="0012014D" w:rsidRPr="00F81967" w:rsidRDefault="0012014D" w:rsidP="00124DA2">
      <w:pPr>
        <w:pStyle w:val="FootnoteText"/>
      </w:pPr>
      <w:r>
        <w:rPr>
          <w:rStyle w:val="FootnoteReference"/>
        </w:rPr>
        <w:footnoteRef/>
      </w:r>
      <w:r>
        <w:t xml:space="preserve"> </w:t>
      </w:r>
      <w:r>
        <w:rPr>
          <w:i/>
        </w:rPr>
        <w:t>Id.</w:t>
      </w:r>
      <w:r>
        <w:t xml:space="preserve"> at 1074, 1077.</w:t>
      </w:r>
    </w:p>
  </w:footnote>
  <w:footnote w:id="151">
    <w:p w14:paraId="05328782" w14:textId="77777777" w:rsidR="0012014D" w:rsidRPr="00F81967" w:rsidRDefault="0012014D" w:rsidP="00124DA2">
      <w:pPr>
        <w:pStyle w:val="FootnoteText"/>
      </w:pPr>
      <w:r>
        <w:rPr>
          <w:rStyle w:val="FootnoteReference"/>
        </w:rPr>
        <w:footnoteRef/>
      </w:r>
      <w:r>
        <w:t xml:space="preserve"> </w:t>
      </w:r>
      <w:r>
        <w:rPr>
          <w:i/>
        </w:rPr>
        <w:t>Id.</w:t>
      </w:r>
      <w:r>
        <w:t xml:space="preserve"> at 1076.</w:t>
      </w:r>
    </w:p>
  </w:footnote>
  <w:footnote w:id="152">
    <w:p w14:paraId="7E854696" w14:textId="77777777" w:rsidR="0012014D" w:rsidRDefault="0012014D" w:rsidP="00124DA2">
      <w:pPr>
        <w:pStyle w:val="FootnoteText"/>
      </w:pPr>
      <w:r>
        <w:rPr>
          <w:rStyle w:val="FootnoteReference"/>
        </w:rPr>
        <w:footnoteRef/>
      </w:r>
      <w:r>
        <w:t xml:space="preserve"> Standard Havens </w:t>
      </w:r>
      <w:proofErr w:type="gramStart"/>
      <w:r>
        <w:t>Prods.,</w:t>
      </w:r>
      <w:proofErr w:type="gramEnd"/>
      <w:r>
        <w:t xml:space="preserve"> Inc. v. </w:t>
      </w:r>
      <w:proofErr w:type="spellStart"/>
      <w:r>
        <w:t>Gencor</w:t>
      </w:r>
      <w:proofErr w:type="spellEnd"/>
      <w:r>
        <w:t xml:space="preserve"> Indus., Inc., 996 F.2d 1236 (Fed. Cir. 1993) (table).</w:t>
      </w:r>
    </w:p>
  </w:footnote>
  <w:footnote w:id="153">
    <w:p w14:paraId="59F1E9D1" w14:textId="77777777" w:rsidR="0012014D" w:rsidRDefault="0012014D" w:rsidP="00124DA2">
      <w:pPr>
        <w:pStyle w:val="FootnoteText"/>
      </w:pPr>
      <w:r>
        <w:rPr>
          <w:rStyle w:val="FootnoteReference"/>
        </w:rPr>
        <w:footnoteRef/>
      </w:r>
      <w:r>
        <w:t xml:space="preserve"> </w:t>
      </w:r>
      <w:r>
        <w:rPr>
          <w:i/>
        </w:rPr>
        <w:t xml:space="preserve">Id. </w:t>
      </w:r>
    </w:p>
  </w:footnote>
  <w:footnote w:id="154">
    <w:p w14:paraId="30A3E48C" w14:textId="67BC3EE1" w:rsidR="0012014D" w:rsidRDefault="0012014D" w:rsidP="00124DA2">
      <w:pPr>
        <w:pStyle w:val="FootnoteText"/>
      </w:pPr>
      <w:r>
        <w:rPr>
          <w:rStyle w:val="FootnoteReference"/>
        </w:rPr>
        <w:footnoteRef/>
      </w:r>
      <w:r>
        <w:t xml:space="preserve"> 250 F. </w:t>
      </w:r>
      <w:proofErr w:type="spellStart"/>
      <w:r>
        <w:t>App’</w:t>
      </w:r>
      <w:r w:rsidRPr="00443146">
        <w:t>x</w:t>
      </w:r>
      <w:proofErr w:type="spellEnd"/>
      <w:r w:rsidRPr="00443146">
        <w:t xml:space="preserve"> 988</w:t>
      </w:r>
      <w:r>
        <w:t>, 988</w:t>
      </w:r>
      <w:r w:rsidRPr="00443146">
        <w:t xml:space="preserve"> (Fed. Cir. 2007)</w:t>
      </w:r>
      <w:r>
        <w:t xml:space="preserve">. </w:t>
      </w:r>
    </w:p>
  </w:footnote>
  <w:footnote w:id="155">
    <w:p w14:paraId="1A839EBC" w14:textId="77777777" w:rsidR="0012014D" w:rsidRDefault="0012014D" w:rsidP="00124DA2">
      <w:pPr>
        <w:pStyle w:val="FootnoteText"/>
      </w:pPr>
      <w:r>
        <w:rPr>
          <w:rStyle w:val="FootnoteReference"/>
        </w:rPr>
        <w:footnoteRef/>
      </w:r>
      <w:r>
        <w:t xml:space="preserve"> </w:t>
      </w:r>
      <w:proofErr w:type="spellStart"/>
      <w:r w:rsidRPr="00443146">
        <w:t>Translogic</w:t>
      </w:r>
      <w:proofErr w:type="spellEnd"/>
      <w:r w:rsidRPr="00443146">
        <w:t xml:space="preserve"> Tech., In</w:t>
      </w:r>
      <w:r>
        <w:t>c. v. Hitachi, Ltd., No. 99-cv-407 (D. Or. May 6, 2005) (ECF No. 765).</w:t>
      </w:r>
    </w:p>
  </w:footnote>
  <w:footnote w:id="156">
    <w:p w14:paraId="466D5DE6" w14:textId="77777777" w:rsidR="0012014D" w:rsidRPr="00404D1F" w:rsidRDefault="0012014D" w:rsidP="00124DA2">
      <w:pPr>
        <w:pStyle w:val="FootnoteText"/>
      </w:pPr>
      <w:r>
        <w:rPr>
          <w:rStyle w:val="FootnoteReference"/>
        </w:rPr>
        <w:footnoteRef/>
      </w:r>
      <w:r>
        <w:t xml:space="preserve"> </w:t>
      </w:r>
      <w:r>
        <w:rPr>
          <w:i/>
        </w:rPr>
        <w:t xml:space="preserve">See </w:t>
      </w:r>
      <w:proofErr w:type="spellStart"/>
      <w:r>
        <w:rPr>
          <w:i/>
        </w:rPr>
        <w:t>Translogic</w:t>
      </w:r>
      <w:proofErr w:type="spellEnd"/>
      <w:r>
        <w:t xml:space="preserve">, 250 F. </w:t>
      </w:r>
      <w:proofErr w:type="spellStart"/>
      <w:r>
        <w:t>App’x</w:t>
      </w:r>
      <w:proofErr w:type="spellEnd"/>
      <w:r>
        <w:t xml:space="preserve"> at 988.</w:t>
      </w:r>
    </w:p>
  </w:footnote>
  <w:footnote w:id="157">
    <w:p w14:paraId="6CB824F5" w14:textId="77777777" w:rsidR="0012014D" w:rsidRDefault="0012014D" w:rsidP="00124DA2">
      <w:pPr>
        <w:pStyle w:val="FootnoteText"/>
      </w:pPr>
      <w:r>
        <w:rPr>
          <w:rStyle w:val="FootnoteReference"/>
        </w:rPr>
        <w:footnoteRef/>
      </w:r>
      <w:r>
        <w:t xml:space="preserve"> </w:t>
      </w:r>
      <w:r w:rsidRPr="00404D1F">
        <w:rPr>
          <w:i/>
        </w:rPr>
        <w:t>In re</w:t>
      </w:r>
      <w:r>
        <w:t xml:space="preserve"> </w:t>
      </w:r>
      <w:proofErr w:type="spellStart"/>
      <w:r>
        <w:t>Translogic</w:t>
      </w:r>
      <w:proofErr w:type="spellEnd"/>
      <w:r>
        <w:t xml:space="preserve"> Tech., Inc., 504 F.3d 1249, 1262 (Fed. Cir. 2007).</w:t>
      </w:r>
    </w:p>
  </w:footnote>
  <w:footnote w:id="158">
    <w:p w14:paraId="6F6EB420" w14:textId="77777777" w:rsidR="0012014D" w:rsidRPr="00404D1F" w:rsidRDefault="0012014D" w:rsidP="00124DA2">
      <w:pPr>
        <w:pStyle w:val="FootnoteText"/>
      </w:pPr>
      <w:r>
        <w:rPr>
          <w:rStyle w:val="FootnoteReference"/>
        </w:rPr>
        <w:footnoteRef/>
      </w:r>
      <w:r>
        <w:t xml:space="preserve"> </w:t>
      </w:r>
      <w:proofErr w:type="spellStart"/>
      <w:r>
        <w:rPr>
          <w:i/>
        </w:rPr>
        <w:t>Translogic</w:t>
      </w:r>
      <w:proofErr w:type="spellEnd"/>
      <w:r>
        <w:t xml:space="preserve">, 250 F. </w:t>
      </w:r>
      <w:proofErr w:type="spellStart"/>
      <w:r>
        <w:t>App’x</w:t>
      </w:r>
      <w:proofErr w:type="spellEnd"/>
      <w:r>
        <w:t xml:space="preserve"> at 988.</w:t>
      </w:r>
    </w:p>
  </w:footnote>
  <w:footnote w:id="159">
    <w:p w14:paraId="050129D6" w14:textId="54E5DFDF" w:rsidR="0012014D" w:rsidRPr="00404D1F" w:rsidRDefault="0012014D" w:rsidP="00124DA2">
      <w:pPr>
        <w:pStyle w:val="FootnoteText"/>
        <w:rPr>
          <w:i/>
        </w:rPr>
      </w:pPr>
      <w:r>
        <w:rPr>
          <w:rStyle w:val="FootnoteReference"/>
        </w:rPr>
        <w:footnoteRef/>
      </w:r>
      <w:r>
        <w:t xml:space="preserve"> </w:t>
      </w:r>
      <w:r>
        <w:rPr>
          <w:i/>
        </w:rPr>
        <w:t>See id.</w:t>
      </w:r>
    </w:p>
  </w:footnote>
  <w:footnote w:id="160">
    <w:p w14:paraId="1A27D7BA" w14:textId="4EF7A523" w:rsidR="0012014D" w:rsidRDefault="0012014D">
      <w:pPr>
        <w:pStyle w:val="FootnoteText"/>
      </w:pPr>
      <w:r>
        <w:rPr>
          <w:rStyle w:val="FootnoteReference"/>
        </w:rPr>
        <w:footnoteRef/>
      </w:r>
      <w:r>
        <w:t xml:space="preserve"> 721 F.3d 1330 (Fed. Cir. 2013).</w:t>
      </w:r>
    </w:p>
  </w:footnote>
  <w:footnote w:id="161">
    <w:p w14:paraId="6C361D69" w14:textId="17580CED" w:rsidR="0012014D" w:rsidRDefault="0012014D">
      <w:pPr>
        <w:pStyle w:val="FootnoteText"/>
      </w:pPr>
      <w:r>
        <w:rPr>
          <w:rStyle w:val="FootnoteReference"/>
        </w:rPr>
        <w:footnoteRef/>
      </w:r>
      <w:r>
        <w:t xml:space="preserve"> 564 F. </w:t>
      </w:r>
      <w:proofErr w:type="spellStart"/>
      <w:r>
        <w:t>App’x</w:t>
      </w:r>
      <w:proofErr w:type="spellEnd"/>
      <w:r>
        <w:t xml:space="preserve"> 600 (Fed. Cir. 2014).</w:t>
      </w:r>
    </w:p>
  </w:footnote>
  <w:footnote w:id="162">
    <w:p w14:paraId="4551B275" w14:textId="49B67EF5" w:rsidR="0012014D" w:rsidRDefault="0012014D">
      <w:pPr>
        <w:pStyle w:val="FootnoteText"/>
      </w:pPr>
      <w:r>
        <w:rPr>
          <w:rStyle w:val="FootnoteReference"/>
        </w:rPr>
        <w:footnoteRef/>
      </w:r>
      <w:r>
        <w:t xml:space="preserve"> </w:t>
      </w:r>
      <w:r w:rsidRPr="00C437F4">
        <w:t>789 F.3d 1349</w:t>
      </w:r>
      <w:r>
        <w:t xml:space="preserve"> (Fed. Cir. 2015).</w:t>
      </w:r>
    </w:p>
  </w:footnote>
  <w:footnote w:id="163">
    <w:p w14:paraId="00C86483" w14:textId="5FFF8FB4" w:rsidR="0012014D" w:rsidRDefault="0012014D">
      <w:pPr>
        <w:pStyle w:val="FootnoteText"/>
      </w:pPr>
      <w:r>
        <w:rPr>
          <w:rStyle w:val="FootnoteReference"/>
        </w:rPr>
        <w:footnoteRef/>
      </w:r>
      <w:r>
        <w:t xml:space="preserve"> </w:t>
      </w:r>
      <w:r>
        <w:rPr>
          <w:i/>
        </w:rPr>
        <w:t>Fresenius</w:t>
      </w:r>
      <w:r>
        <w:t>,</w:t>
      </w:r>
      <w:r>
        <w:rPr>
          <w:i/>
        </w:rPr>
        <w:t xml:space="preserve"> </w:t>
      </w:r>
      <w:r>
        <w:t>721 F.3d at 1332.</w:t>
      </w:r>
    </w:p>
  </w:footnote>
  <w:footnote w:id="164">
    <w:p w14:paraId="4354A62D" w14:textId="55702B78" w:rsidR="0012014D" w:rsidRDefault="0012014D" w:rsidP="00405EB6">
      <w:pPr>
        <w:pStyle w:val="FootnoteText"/>
      </w:pPr>
      <w:r>
        <w:rPr>
          <w:rStyle w:val="FootnoteReference"/>
        </w:rPr>
        <w:footnoteRef/>
      </w:r>
      <w:r>
        <w:t xml:space="preserve"> Fresenius USA, Inc. v. Baxter Int’l, Inc., 582 F.3d 1288, 1293 (Fed. Cir. 2009).</w:t>
      </w:r>
    </w:p>
  </w:footnote>
  <w:footnote w:id="165">
    <w:p w14:paraId="017AF0D4" w14:textId="33D8E890" w:rsidR="0012014D" w:rsidRPr="00405EB6" w:rsidRDefault="0012014D">
      <w:pPr>
        <w:pStyle w:val="FootnoteText"/>
        <w:rPr>
          <w:i/>
        </w:rPr>
      </w:pPr>
      <w:r>
        <w:rPr>
          <w:rStyle w:val="FootnoteReference"/>
        </w:rPr>
        <w:footnoteRef/>
      </w:r>
      <w:r>
        <w:t xml:space="preserve"> </w:t>
      </w:r>
      <w:r>
        <w:rPr>
          <w:i/>
        </w:rPr>
        <w:t>Id.</w:t>
      </w:r>
    </w:p>
  </w:footnote>
  <w:footnote w:id="166">
    <w:p w14:paraId="7F65970A" w14:textId="6D086E1C" w:rsidR="0012014D" w:rsidRPr="00405EB6" w:rsidRDefault="0012014D">
      <w:pPr>
        <w:pStyle w:val="FootnoteText"/>
        <w:rPr>
          <w:i/>
        </w:rPr>
      </w:pPr>
      <w:r>
        <w:rPr>
          <w:rStyle w:val="FootnoteReference"/>
        </w:rPr>
        <w:footnoteRef/>
      </w:r>
      <w:r>
        <w:t xml:space="preserve"> </w:t>
      </w:r>
      <w:r>
        <w:rPr>
          <w:i/>
        </w:rPr>
        <w:t>Id.</w:t>
      </w:r>
    </w:p>
  </w:footnote>
  <w:footnote w:id="167">
    <w:p w14:paraId="2586B622" w14:textId="77752719" w:rsidR="0012014D" w:rsidRPr="00405EB6" w:rsidRDefault="0012014D">
      <w:pPr>
        <w:pStyle w:val="FootnoteText"/>
        <w:rPr>
          <w:i/>
        </w:rPr>
      </w:pPr>
      <w:r>
        <w:rPr>
          <w:rStyle w:val="FootnoteReference"/>
        </w:rPr>
        <w:footnoteRef/>
      </w:r>
      <w:r>
        <w:t xml:space="preserve"> </w:t>
      </w:r>
      <w:r>
        <w:rPr>
          <w:i/>
        </w:rPr>
        <w:t>Id.</w:t>
      </w:r>
    </w:p>
  </w:footnote>
  <w:footnote w:id="168">
    <w:p w14:paraId="4C98D7EC" w14:textId="6BFE942D" w:rsidR="0012014D" w:rsidRPr="00405EB6" w:rsidRDefault="0012014D">
      <w:pPr>
        <w:pStyle w:val="FootnoteText"/>
      </w:pPr>
      <w:r>
        <w:rPr>
          <w:rStyle w:val="FootnoteReference"/>
        </w:rPr>
        <w:footnoteRef/>
      </w:r>
      <w:r>
        <w:t xml:space="preserve"> </w:t>
      </w:r>
      <w:r>
        <w:rPr>
          <w:i/>
        </w:rPr>
        <w:t>Id.</w:t>
      </w:r>
      <w:r>
        <w:t xml:space="preserve"> at 1294.</w:t>
      </w:r>
    </w:p>
  </w:footnote>
  <w:footnote w:id="169">
    <w:p w14:paraId="6AC791A6" w14:textId="65BF47A7" w:rsidR="0012014D" w:rsidRPr="00405EB6" w:rsidRDefault="0012014D">
      <w:pPr>
        <w:pStyle w:val="FootnoteText"/>
        <w:rPr>
          <w:i/>
        </w:rPr>
      </w:pPr>
      <w:r>
        <w:rPr>
          <w:rStyle w:val="FootnoteReference"/>
        </w:rPr>
        <w:footnoteRef/>
      </w:r>
      <w:r>
        <w:t xml:space="preserve"> </w:t>
      </w:r>
      <w:r>
        <w:rPr>
          <w:i/>
        </w:rPr>
        <w:t>Id.</w:t>
      </w:r>
    </w:p>
  </w:footnote>
  <w:footnote w:id="170">
    <w:p w14:paraId="329DC2E5" w14:textId="6FF285D2" w:rsidR="0012014D" w:rsidRPr="00AD7917" w:rsidRDefault="0012014D">
      <w:pPr>
        <w:pStyle w:val="FootnoteText"/>
      </w:pPr>
      <w:r>
        <w:rPr>
          <w:rStyle w:val="FootnoteReference"/>
        </w:rPr>
        <w:footnoteRef/>
      </w:r>
      <w:r>
        <w:t xml:space="preserve"> </w:t>
      </w:r>
      <w:r>
        <w:rPr>
          <w:i/>
        </w:rPr>
        <w:t>Id.</w:t>
      </w:r>
      <w:r>
        <w:t xml:space="preserve"> at 1304.</w:t>
      </w:r>
    </w:p>
  </w:footnote>
  <w:footnote w:id="171">
    <w:p w14:paraId="5D5C62B1" w14:textId="69CA396A" w:rsidR="0012014D" w:rsidRPr="00AD7917" w:rsidRDefault="0012014D">
      <w:pPr>
        <w:pStyle w:val="FootnoteText"/>
      </w:pPr>
      <w:r>
        <w:rPr>
          <w:rStyle w:val="FootnoteReference"/>
        </w:rPr>
        <w:footnoteRef/>
      </w:r>
      <w:r>
        <w:t xml:space="preserve"> </w:t>
      </w:r>
      <w:r>
        <w:rPr>
          <w:i/>
        </w:rPr>
        <w:t>Id.</w:t>
      </w:r>
      <w:r>
        <w:t xml:space="preserve"> at 1303.</w:t>
      </w:r>
    </w:p>
  </w:footnote>
  <w:footnote w:id="172">
    <w:p w14:paraId="1F16E96C" w14:textId="3D7353DF" w:rsidR="0012014D" w:rsidRPr="00AD7917" w:rsidRDefault="0012014D">
      <w:pPr>
        <w:pStyle w:val="FootnoteText"/>
      </w:pPr>
      <w:r>
        <w:rPr>
          <w:rStyle w:val="FootnoteReference"/>
        </w:rPr>
        <w:footnoteRef/>
      </w:r>
      <w:r>
        <w:t xml:space="preserve"> </w:t>
      </w:r>
      <w:r>
        <w:rPr>
          <w:i/>
        </w:rPr>
        <w:t>Id.</w:t>
      </w:r>
      <w:r>
        <w:t xml:space="preserve"> at 1304.  </w:t>
      </w:r>
    </w:p>
  </w:footnote>
  <w:footnote w:id="173">
    <w:p w14:paraId="574D0865" w14:textId="0A23EC24" w:rsidR="0012014D" w:rsidRDefault="0012014D" w:rsidP="00D37AD8">
      <w:pPr>
        <w:pStyle w:val="FootnoteText"/>
      </w:pPr>
      <w:r>
        <w:rPr>
          <w:rStyle w:val="FootnoteReference"/>
        </w:rPr>
        <w:footnoteRef/>
      </w:r>
      <w:r>
        <w:t xml:space="preserve"> Fresenius USA, Inc. v. Baxter Int’l, Inc., 559 U.S. 1070 (2010).</w:t>
      </w:r>
    </w:p>
  </w:footnote>
  <w:footnote w:id="174">
    <w:p w14:paraId="53808492" w14:textId="56DCAFAF" w:rsidR="0012014D" w:rsidRDefault="0012014D" w:rsidP="00FE14DB">
      <w:pPr>
        <w:pStyle w:val="FootnoteText"/>
      </w:pPr>
      <w:r>
        <w:rPr>
          <w:rStyle w:val="FootnoteReference"/>
        </w:rPr>
        <w:footnoteRef/>
      </w:r>
      <w:r>
        <w:t xml:space="preserve"> On remand, Fresenius filed a motion for a new trial on past damages, but the district court denied the motion, noting that “Fresenius did not argue at trial or on appeal that the calculation of past damages depended on the number of patents infringed” and that, although the Federal Circuit vacated the injunction and post-verdict royalty award, the Federal Circuit “did not vacate the damages award.”  Fresenius USA, Inc. v. Baxter Int’l, Inc., No. C 03-1431, 2011 WL 2160609, at *2 (N.D. Cal. May 26, 2011).</w:t>
      </w:r>
    </w:p>
  </w:footnote>
  <w:footnote w:id="175">
    <w:p w14:paraId="0E12C14A" w14:textId="5090DA7B" w:rsidR="0012014D" w:rsidRDefault="0012014D" w:rsidP="00D37AD8">
      <w:pPr>
        <w:pStyle w:val="FootnoteText"/>
      </w:pPr>
      <w:r>
        <w:rPr>
          <w:rStyle w:val="FootnoteReference"/>
        </w:rPr>
        <w:footnoteRef/>
      </w:r>
      <w:r>
        <w:t xml:space="preserve"> Fresenius USA, Inc. v. Baxter Int’l, Inc., 721 F.3d 1330, 1333 (Fed. Cir. 2013).</w:t>
      </w:r>
    </w:p>
  </w:footnote>
  <w:footnote w:id="176">
    <w:p w14:paraId="09D7FB2F" w14:textId="77777777" w:rsidR="0012014D" w:rsidRPr="00D37AD8" w:rsidRDefault="0012014D" w:rsidP="004B4B17">
      <w:pPr>
        <w:pStyle w:val="FootnoteText"/>
      </w:pPr>
      <w:r>
        <w:rPr>
          <w:rStyle w:val="FootnoteReference"/>
        </w:rPr>
        <w:footnoteRef/>
      </w:r>
      <w:r>
        <w:t xml:space="preserve"> </w:t>
      </w:r>
      <w:r>
        <w:rPr>
          <w:i/>
        </w:rPr>
        <w:t>Id.</w:t>
      </w:r>
      <w:r>
        <w:t xml:space="preserve"> at 1334.</w:t>
      </w:r>
    </w:p>
  </w:footnote>
  <w:footnote w:id="177">
    <w:p w14:paraId="2E16A6F4" w14:textId="4B6BB6DF" w:rsidR="0012014D" w:rsidRPr="0095560C" w:rsidRDefault="0012014D">
      <w:pPr>
        <w:pStyle w:val="FootnoteText"/>
        <w:rPr>
          <w:i/>
        </w:rPr>
      </w:pPr>
      <w:r>
        <w:rPr>
          <w:rStyle w:val="FootnoteReference"/>
        </w:rPr>
        <w:footnoteRef/>
      </w:r>
      <w:r>
        <w:t xml:space="preserve"> </w:t>
      </w:r>
      <w:r>
        <w:rPr>
          <w:i/>
        </w:rPr>
        <w:t>Id.</w:t>
      </w:r>
    </w:p>
  </w:footnote>
  <w:footnote w:id="178">
    <w:p w14:paraId="5900AB40" w14:textId="41BA07BF" w:rsidR="0012014D" w:rsidRPr="0095560C" w:rsidRDefault="0012014D">
      <w:pPr>
        <w:pStyle w:val="FootnoteText"/>
      </w:pPr>
      <w:r>
        <w:rPr>
          <w:rStyle w:val="FootnoteReference"/>
        </w:rPr>
        <w:footnoteRef/>
      </w:r>
      <w:r>
        <w:t xml:space="preserve"> </w:t>
      </w:r>
      <w:r>
        <w:rPr>
          <w:i/>
        </w:rPr>
        <w:t xml:space="preserve">See In re </w:t>
      </w:r>
      <w:r>
        <w:t>Baxter Int’l, Inc., 678 F.3d 1357, 1360 (Fed. Cir. 2012).</w:t>
      </w:r>
    </w:p>
  </w:footnote>
  <w:footnote w:id="179">
    <w:p w14:paraId="5DE71252" w14:textId="77777777" w:rsidR="0012014D" w:rsidRPr="0095560C" w:rsidRDefault="0012014D" w:rsidP="00CA19F7">
      <w:pPr>
        <w:pStyle w:val="FootnoteText"/>
      </w:pPr>
      <w:r>
        <w:rPr>
          <w:rStyle w:val="FootnoteReference"/>
        </w:rPr>
        <w:footnoteRef/>
      </w:r>
      <w:r>
        <w:t xml:space="preserve"> </w:t>
      </w:r>
      <w:r>
        <w:rPr>
          <w:i/>
        </w:rPr>
        <w:t>Id.</w:t>
      </w:r>
      <w:r>
        <w:t xml:space="preserve"> at 1366.</w:t>
      </w:r>
    </w:p>
  </w:footnote>
  <w:footnote w:id="180">
    <w:p w14:paraId="392ECB50" w14:textId="36068370" w:rsidR="0012014D" w:rsidRPr="00516096" w:rsidRDefault="0012014D">
      <w:pPr>
        <w:pStyle w:val="FootnoteText"/>
      </w:pPr>
      <w:r>
        <w:rPr>
          <w:rStyle w:val="FootnoteReference"/>
        </w:rPr>
        <w:footnoteRef/>
      </w:r>
      <w:r>
        <w:t xml:space="preserve"> </w:t>
      </w:r>
      <w:r>
        <w:rPr>
          <w:i/>
        </w:rPr>
        <w:t>Id.</w:t>
      </w:r>
      <w:r>
        <w:t xml:space="preserve"> at 1364-65.</w:t>
      </w:r>
    </w:p>
  </w:footnote>
  <w:footnote w:id="181">
    <w:p w14:paraId="7764411D" w14:textId="13DCA958" w:rsidR="0012014D" w:rsidRPr="00A97B9C" w:rsidRDefault="0012014D">
      <w:pPr>
        <w:pStyle w:val="FootnoteText"/>
      </w:pPr>
      <w:r>
        <w:rPr>
          <w:rStyle w:val="FootnoteReference"/>
        </w:rPr>
        <w:footnoteRef/>
      </w:r>
      <w:r>
        <w:t xml:space="preserve"> </w:t>
      </w:r>
      <w:r>
        <w:rPr>
          <w:i/>
        </w:rPr>
        <w:t xml:space="preserve">Id. </w:t>
      </w:r>
    </w:p>
  </w:footnote>
  <w:footnote w:id="182">
    <w:p w14:paraId="6BC730BE" w14:textId="0EF0A50E" w:rsidR="0012014D" w:rsidRPr="001A0B48" w:rsidRDefault="0012014D" w:rsidP="00296F33">
      <w:pPr>
        <w:pStyle w:val="FootnoteText"/>
      </w:pPr>
      <w:r>
        <w:rPr>
          <w:rStyle w:val="FootnoteReference"/>
        </w:rPr>
        <w:footnoteRef/>
      </w:r>
      <w:r>
        <w:t xml:space="preserve"> Fresenius USA, Inc. v. Baxter Int’l, Inc., 721 F.3d 1330, 1340 (Fed. Cir. 2013) (citing </w:t>
      </w:r>
      <w:r w:rsidRPr="00A97B9C">
        <w:t>Moffitt v. Garr</w:t>
      </w:r>
      <w:r>
        <w:t xml:space="preserve">, 66 U.S. 273 (1861)).  </w:t>
      </w:r>
    </w:p>
  </w:footnote>
  <w:footnote w:id="183">
    <w:p w14:paraId="7C86DB4B" w14:textId="2372D921" w:rsidR="0012014D" w:rsidRPr="00296F33" w:rsidRDefault="0012014D">
      <w:pPr>
        <w:pStyle w:val="FootnoteText"/>
      </w:pPr>
      <w:r>
        <w:rPr>
          <w:rStyle w:val="FootnoteReference"/>
        </w:rPr>
        <w:footnoteRef/>
      </w:r>
      <w:r>
        <w:t xml:space="preserve"> </w:t>
      </w:r>
      <w:r>
        <w:rPr>
          <w:i/>
        </w:rPr>
        <w:t>Id.</w:t>
      </w:r>
    </w:p>
  </w:footnote>
  <w:footnote w:id="184">
    <w:p w14:paraId="60CAF330" w14:textId="0F3D1440" w:rsidR="0012014D" w:rsidRPr="00AC5F7F" w:rsidRDefault="0012014D">
      <w:pPr>
        <w:pStyle w:val="FootnoteText"/>
      </w:pPr>
      <w:r>
        <w:rPr>
          <w:rStyle w:val="FootnoteReference"/>
        </w:rPr>
        <w:footnoteRef/>
      </w:r>
      <w:r>
        <w:t xml:space="preserve"> </w:t>
      </w:r>
      <w:r>
        <w:rPr>
          <w:i/>
        </w:rPr>
        <w:t>Id.</w:t>
      </w:r>
      <w:r>
        <w:t xml:space="preserve"> at 1340-41.</w:t>
      </w:r>
    </w:p>
  </w:footnote>
  <w:footnote w:id="185">
    <w:p w14:paraId="2C5CD536" w14:textId="397EB461" w:rsidR="0012014D" w:rsidRPr="00574B0F" w:rsidRDefault="0012014D">
      <w:pPr>
        <w:pStyle w:val="FootnoteText"/>
      </w:pPr>
      <w:r>
        <w:rPr>
          <w:rStyle w:val="FootnoteReference"/>
        </w:rPr>
        <w:footnoteRef/>
      </w:r>
      <w:r>
        <w:t xml:space="preserve"> </w:t>
      </w:r>
      <w:r>
        <w:rPr>
          <w:i/>
        </w:rPr>
        <w:t>Id.</w:t>
      </w:r>
      <w:r>
        <w:t xml:space="preserve"> at 1341.</w:t>
      </w:r>
    </w:p>
  </w:footnote>
  <w:footnote w:id="186">
    <w:p w14:paraId="08AAF229" w14:textId="114A42CC" w:rsidR="0012014D" w:rsidRPr="00C43571" w:rsidRDefault="0012014D">
      <w:pPr>
        <w:pStyle w:val="FootnoteText"/>
      </w:pPr>
      <w:r>
        <w:rPr>
          <w:rStyle w:val="FootnoteReference"/>
        </w:rPr>
        <w:footnoteRef/>
      </w:r>
      <w:r>
        <w:t xml:space="preserve"> </w:t>
      </w:r>
      <w:r>
        <w:rPr>
          <w:i/>
        </w:rPr>
        <w:t>Id.</w:t>
      </w:r>
    </w:p>
  </w:footnote>
  <w:footnote w:id="187">
    <w:p w14:paraId="19B8F7FE" w14:textId="7EADF2B0" w:rsidR="0012014D" w:rsidRDefault="0012014D">
      <w:pPr>
        <w:pStyle w:val="FootnoteText"/>
      </w:pPr>
      <w:r>
        <w:rPr>
          <w:rStyle w:val="FootnoteReference"/>
        </w:rPr>
        <w:footnoteRef/>
      </w:r>
      <w:r>
        <w:t xml:space="preserve"> </w:t>
      </w:r>
      <w:r>
        <w:rPr>
          <w:i/>
        </w:rPr>
        <w:t>Id.</w:t>
      </w:r>
      <w:r>
        <w:t xml:space="preserve"> at 1344 n.10 (citing </w:t>
      </w:r>
      <w:proofErr w:type="spellStart"/>
      <w:r w:rsidRPr="00C43571">
        <w:t>Translogic</w:t>
      </w:r>
      <w:proofErr w:type="spellEnd"/>
      <w:r w:rsidRPr="00C43571">
        <w:t xml:space="preserve"> Tech.</w:t>
      </w:r>
      <w:r>
        <w:t>, Inc. v. Hitachi, Ltd., 250 F</w:t>
      </w:r>
      <w:r w:rsidRPr="00C43571">
        <w:t>.</w:t>
      </w:r>
      <w:r>
        <w:t xml:space="preserve"> </w:t>
      </w:r>
      <w:proofErr w:type="spellStart"/>
      <w:r w:rsidRPr="00C43571">
        <w:t>App</w:t>
      </w:r>
      <w:r>
        <w:t>’x</w:t>
      </w:r>
      <w:proofErr w:type="spellEnd"/>
      <w:r w:rsidRPr="00C43571">
        <w:t xml:space="preserve"> 988 (Fed.</w:t>
      </w:r>
      <w:r>
        <w:t xml:space="preserve"> </w:t>
      </w:r>
      <w:r w:rsidRPr="00C43571">
        <w:t>Cir.</w:t>
      </w:r>
      <w:r>
        <w:t xml:space="preserve"> 2007)).</w:t>
      </w:r>
    </w:p>
  </w:footnote>
  <w:footnote w:id="188">
    <w:p w14:paraId="317325F5" w14:textId="08EE8630" w:rsidR="0012014D" w:rsidRPr="001A0B48" w:rsidRDefault="0012014D">
      <w:pPr>
        <w:pStyle w:val="FootnoteText"/>
      </w:pPr>
      <w:r>
        <w:rPr>
          <w:rStyle w:val="FootnoteReference"/>
        </w:rPr>
        <w:footnoteRef/>
      </w:r>
      <w:r>
        <w:t xml:space="preserve"> </w:t>
      </w:r>
      <w:r>
        <w:rPr>
          <w:i/>
        </w:rPr>
        <w:t>Id.</w:t>
      </w:r>
      <w:r>
        <w:t xml:space="preserve"> at 1351 (Newman, J., dissenting).</w:t>
      </w:r>
    </w:p>
  </w:footnote>
  <w:footnote w:id="189">
    <w:p w14:paraId="10CEDF8B" w14:textId="3CB76FB3" w:rsidR="0012014D" w:rsidRPr="00050AB2" w:rsidRDefault="0012014D">
      <w:pPr>
        <w:pStyle w:val="FootnoteText"/>
      </w:pPr>
      <w:r>
        <w:rPr>
          <w:rStyle w:val="FootnoteReference"/>
        </w:rPr>
        <w:footnoteRef/>
      </w:r>
      <w:r>
        <w:t xml:space="preserve"> </w:t>
      </w:r>
      <w:r>
        <w:rPr>
          <w:i/>
        </w:rPr>
        <w:t>Id.</w:t>
      </w:r>
      <w:r>
        <w:t xml:space="preserve"> at 1356.</w:t>
      </w:r>
    </w:p>
  </w:footnote>
  <w:footnote w:id="190">
    <w:p w14:paraId="67F34529" w14:textId="03A54CEE" w:rsidR="0012014D" w:rsidRPr="000A17AA" w:rsidRDefault="0012014D">
      <w:pPr>
        <w:pStyle w:val="FootnoteText"/>
      </w:pPr>
      <w:r>
        <w:rPr>
          <w:rStyle w:val="FootnoteReference"/>
        </w:rPr>
        <w:footnoteRef/>
      </w:r>
      <w:r>
        <w:t xml:space="preserve"> </w:t>
      </w:r>
      <w:r>
        <w:rPr>
          <w:i/>
        </w:rPr>
        <w:t>Id.</w:t>
      </w:r>
      <w:r>
        <w:t xml:space="preserve"> </w:t>
      </w:r>
    </w:p>
  </w:footnote>
  <w:footnote w:id="191">
    <w:p w14:paraId="0AD44300" w14:textId="1231E5E6" w:rsidR="0012014D" w:rsidRPr="00B40B42" w:rsidRDefault="0012014D" w:rsidP="00D871AA">
      <w:pPr>
        <w:pStyle w:val="FootnoteText"/>
      </w:pPr>
      <w:r>
        <w:rPr>
          <w:rStyle w:val="FootnoteReference"/>
        </w:rPr>
        <w:footnoteRef/>
      </w:r>
      <w:r>
        <w:t xml:space="preserve"> Fresenius USA, Inc. v. Baxter Int’l, Inc., 733 F.3d 1369, 1375 (Fed. Cir. 2013) (O’Malley, J., dissenting from denial of rehearing en banc).</w:t>
      </w:r>
    </w:p>
  </w:footnote>
  <w:footnote w:id="192">
    <w:p w14:paraId="3B4CEAA0" w14:textId="0B5C2DCC" w:rsidR="0012014D" w:rsidRPr="00D871AA" w:rsidRDefault="0012014D">
      <w:pPr>
        <w:pStyle w:val="FootnoteText"/>
      </w:pPr>
      <w:r>
        <w:rPr>
          <w:rStyle w:val="FootnoteReference"/>
        </w:rPr>
        <w:footnoteRef/>
      </w:r>
      <w:r>
        <w:t xml:space="preserve"> </w:t>
      </w:r>
      <w:r>
        <w:rPr>
          <w:i/>
        </w:rPr>
        <w:t>See id.</w:t>
      </w:r>
    </w:p>
  </w:footnote>
  <w:footnote w:id="193">
    <w:p w14:paraId="16834FED" w14:textId="69073AFB" w:rsidR="0012014D" w:rsidRPr="00B40B42" w:rsidRDefault="0012014D">
      <w:pPr>
        <w:pStyle w:val="FootnoteText"/>
      </w:pPr>
      <w:r>
        <w:rPr>
          <w:rStyle w:val="FootnoteReference"/>
        </w:rPr>
        <w:footnoteRef/>
      </w:r>
      <w:r>
        <w:t xml:space="preserve"> </w:t>
      </w:r>
      <w:r>
        <w:rPr>
          <w:i/>
        </w:rPr>
        <w:t>Id.</w:t>
      </w:r>
      <w:r>
        <w:t xml:space="preserve"> at 1372.</w:t>
      </w:r>
    </w:p>
  </w:footnote>
  <w:footnote w:id="194">
    <w:p w14:paraId="4B84ACF8" w14:textId="1F4D5D3B" w:rsidR="0012014D" w:rsidRPr="008454AB" w:rsidRDefault="0012014D">
      <w:pPr>
        <w:pStyle w:val="FootnoteText"/>
      </w:pPr>
      <w:r>
        <w:rPr>
          <w:rStyle w:val="FootnoteReference"/>
        </w:rPr>
        <w:footnoteRef/>
      </w:r>
      <w:r>
        <w:t xml:space="preserve"> </w:t>
      </w:r>
      <w:r>
        <w:rPr>
          <w:i/>
        </w:rPr>
        <w:t>Id.</w:t>
      </w:r>
      <w:r>
        <w:t xml:space="preserve"> at 1383 (Newman, J., dissenting from denial of rehearing en banc).</w:t>
      </w:r>
    </w:p>
  </w:footnote>
  <w:footnote w:id="195">
    <w:p w14:paraId="36BCC775" w14:textId="77777777" w:rsidR="0012014D" w:rsidRDefault="0012014D" w:rsidP="003C6B9D">
      <w:pPr>
        <w:pStyle w:val="FootnoteText"/>
      </w:pPr>
      <w:r>
        <w:rPr>
          <w:rStyle w:val="FootnoteReference"/>
        </w:rPr>
        <w:footnoteRef/>
      </w:r>
      <w:r>
        <w:t xml:space="preserve"> </w:t>
      </w:r>
      <w:proofErr w:type="spellStart"/>
      <w:r>
        <w:t>Versata</w:t>
      </w:r>
      <w:proofErr w:type="spellEnd"/>
      <w:r>
        <w:t xml:space="preserve"> Software, Inc. v. SAP Am., Inc., 717 F.3d 1255, 1259 (Fed. Cir. 2013).</w:t>
      </w:r>
    </w:p>
  </w:footnote>
  <w:footnote w:id="196">
    <w:p w14:paraId="476BB651" w14:textId="36415680" w:rsidR="0012014D" w:rsidRPr="00D44CB5" w:rsidRDefault="0012014D" w:rsidP="003C6B9D">
      <w:pPr>
        <w:pStyle w:val="FootnoteText"/>
      </w:pPr>
      <w:r>
        <w:rPr>
          <w:rStyle w:val="FootnoteReference"/>
        </w:rPr>
        <w:footnoteRef/>
      </w:r>
      <w:r>
        <w:t xml:space="preserve"> </w:t>
      </w:r>
      <w:r>
        <w:rPr>
          <w:i/>
        </w:rPr>
        <w:t>Id.</w:t>
      </w:r>
      <w:r>
        <w:t xml:space="preserve"> at 1260.</w:t>
      </w:r>
    </w:p>
  </w:footnote>
  <w:footnote w:id="197">
    <w:p w14:paraId="0B8669EF" w14:textId="77777777" w:rsidR="0012014D" w:rsidRDefault="0012014D" w:rsidP="003C6B9D">
      <w:pPr>
        <w:pStyle w:val="FootnoteText"/>
      </w:pPr>
      <w:r>
        <w:rPr>
          <w:rStyle w:val="FootnoteReference"/>
        </w:rPr>
        <w:footnoteRef/>
      </w:r>
      <w:r>
        <w:t xml:space="preserve"> </w:t>
      </w:r>
      <w:r>
        <w:rPr>
          <w:i/>
        </w:rPr>
        <w:t>Id.</w:t>
      </w:r>
      <w:r>
        <w:t xml:space="preserve"> at 1269.</w:t>
      </w:r>
    </w:p>
  </w:footnote>
  <w:footnote w:id="198">
    <w:p w14:paraId="2097E7D4" w14:textId="5692DA2F" w:rsidR="0012014D" w:rsidRPr="00220DAE" w:rsidRDefault="0012014D">
      <w:pPr>
        <w:pStyle w:val="FootnoteText"/>
      </w:pPr>
      <w:r>
        <w:rPr>
          <w:rStyle w:val="FootnoteReference"/>
        </w:rPr>
        <w:footnoteRef/>
      </w:r>
      <w:r>
        <w:t xml:space="preserve"> </w:t>
      </w:r>
      <w:r>
        <w:rPr>
          <w:i/>
        </w:rPr>
        <w:t>See id.</w:t>
      </w:r>
      <w:r>
        <w:t xml:space="preserve"> </w:t>
      </w:r>
      <w:proofErr w:type="gramStart"/>
      <w:r>
        <w:t>at</w:t>
      </w:r>
      <w:proofErr w:type="gramEnd"/>
      <w:r>
        <w:t xml:space="preserve"> 1260.</w:t>
      </w:r>
    </w:p>
  </w:footnote>
  <w:footnote w:id="199">
    <w:p w14:paraId="4E9A1DEE" w14:textId="77777777" w:rsidR="0012014D" w:rsidRDefault="0012014D" w:rsidP="003C6B9D">
      <w:pPr>
        <w:pStyle w:val="FootnoteText"/>
        <w:rPr>
          <w:i/>
        </w:rPr>
      </w:pPr>
      <w:r>
        <w:rPr>
          <w:rStyle w:val="FootnoteReference"/>
        </w:rPr>
        <w:footnoteRef/>
      </w:r>
      <w:r>
        <w:t xml:space="preserve"> </w:t>
      </w:r>
      <w:r>
        <w:rPr>
          <w:i/>
        </w:rPr>
        <w:t>Id.</w:t>
      </w:r>
    </w:p>
  </w:footnote>
  <w:footnote w:id="200">
    <w:p w14:paraId="4F30465D" w14:textId="76633524" w:rsidR="0012014D" w:rsidRDefault="0012014D" w:rsidP="003C6B9D">
      <w:pPr>
        <w:pStyle w:val="FootnoteText"/>
      </w:pPr>
      <w:r>
        <w:rPr>
          <w:rStyle w:val="FootnoteReference"/>
        </w:rPr>
        <w:footnoteRef/>
      </w:r>
      <w:r>
        <w:t xml:space="preserve"> SAP Am., Inc. v. </w:t>
      </w:r>
      <w:proofErr w:type="spellStart"/>
      <w:r>
        <w:t>Versata</w:t>
      </w:r>
      <w:proofErr w:type="spellEnd"/>
      <w:r>
        <w:t xml:space="preserve"> Dev. Grp., Inc., No. CBM2012-1, 2013 WL 3167735, at *20 (P.T.A.B. June 11, 2013).</w:t>
      </w:r>
    </w:p>
  </w:footnote>
  <w:footnote w:id="201">
    <w:p w14:paraId="18774DC5" w14:textId="782E71D3" w:rsidR="0012014D" w:rsidRDefault="0012014D" w:rsidP="00CF0280">
      <w:pPr>
        <w:pStyle w:val="FootnoteText"/>
      </w:pPr>
      <w:r>
        <w:rPr>
          <w:rStyle w:val="FootnoteReference"/>
        </w:rPr>
        <w:footnoteRef/>
      </w:r>
      <w:r>
        <w:t xml:space="preserve"> SAP Am., Inc., No. CBM2012-1, 2013 WL 5947675, at *1 (P.T.A.B. Sept. 13, 2013).</w:t>
      </w:r>
    </w:p>
  </w:footnote>
  <w:footnote w:id="202">
    <w:p w14:paraId="0A082C50" w14:textId="77777777" w:rsidR="0012014D" w:rsidRDefault="0012014D" w:rsidP="003C6B9D">
      <w:pPr>
        <w:pStyle w:val="FootnoteText"/>
      </w:pPr>
      <w:r>
        <w:rPr>
          <w:rStyle w:val="FootnoteReference"/>
        </w:rPr>
        <w:footnoteRef/>
      </w:r>
      <w:r>
        <w:t xml:space="preserve"> SAP Am., Inc. v. </w:t>
      </w:r>
      <w:proofErr w:type="spellStart"/>
      <w:r>
        <w:t>Versata</w:t>
      </w:r>
      <w:proofErr w:type="spellEnd"/>
      <w:r>
        <w:t xml:space="preserve"> Software, Inc., 134 S. Ct. 1013 (2014).</w:t>
      </w:r>
    </w:p>
  </w:footnote>
  <w:footnote w:id="203">
    <w:p w14:paraId="7698BA52" w14:textId="7444523E" w:rsidR="0012014D" w:rsidRDefault="0012014D" w:rsidP="00AD27B5">
      <w:pPr>
        <w:pStyle w:val="FootnoteText"/>
      </w:pPr>
      <w:r>
        <w:rPr>
          <w:rStyle w:val="FootnoteReference"/>
        </w:rPr>
        <w:footnoteRef/>
      </w:r>
      <w:r>
        <w:t xml:space="preserve"> </w:t>
      </w:r>
      <w:r>
        <w:rPr>
          <w:i/>
        </w:rPr>
        <w:t>See</w:t>
      </w:r>
      <w:r>
        <w:t xml:space="preserve"> </w:t>
      </w:r>
      <w:proofErr w:type="spellStart"/>
      <w:r>
        <w:t>Versata</w:t>
      </w:r>
      <w:proofErr w:type="spellEnd"/>
      <w:r>
        <w:t xml:space="preserve"> Software, Inc. v. SAP Am., Inc., No. 2:07cv153, 2014 WL 1600327, at *1 (E.D. Tex. Apr. 2014); </w:t>
      </w:r>
      <w:r>
        <w:rPr>
          <w:i/>
        </w:rPr>
        <w:t xml:space="preserve">see also </w:t>
      </w:r>
      <w:r w:rsidRPr="00AD27B5">
        <w:rPr>
          <w:smallCaps/>
        </w:rPr>
        <w:t>Fed. R. Civ. P.</w:t>
      </w:r>
      <w:r>
        <w:t xml:space="preserve"> 60(b)(5)-(6) (permitting relief from a judgment if “it is based on an earlier judgment that has been reversed or vacated,” if “applying it prospectively is no longer equitable,” or for “any other reason that justifies relief”).</w:t>
      </w:r>
    </w:p>
  </w:footnote>
  <w:footnote w:id="204">
    <w:p w14:paraId="5C30E402" w14:textId="10CD3074" w:rsidR="0012014D" w:rsidRPr="00AD27B5" w:rsidRDefault="0012014D" w:rsidP="003C6B9D">
      <w:pPr>
        <w:pStyle w:val="FootnoteText"/>
      </w:pPr>
      <w:r>
        <w:rPr>
          <w:rStyle w:val="FootnoteReference"/>
        </w:rPr>
        <w:footnoteRef/>
      </w:r>
      <w:r>
        <w:t xml:space="preserve"> </w:t>
      </w:r>
      <w:r>
        <w:rPr>
          <w:i/>
        </w:rPr>
        <w:t xml:space="preserve">See </w:t>
      </w:r>
      <w:proofErr w:type="spellStart"/>
      <w:r>
        <w:rPr>
          <w:i/>
        </w:rPr>
        <w:t>Versata</w:t>
      </w:r>
      <w:proofErr w:type="spellEnd"/>
      <w:r>
        <w:t>, 2014 WL 1600327, at *1.</w:t>
      </w:r>
    </w:p>
  </w:footnote>
  <w:footnote w:id="205">
    <w:p w14:paraId="5AA80342" w14:textId="77777777" w:rsidR="0012014D" w:rsidRDefault="0012014D" w:rsidP="003C6B9D">
      <w:pPr>
        <w:pStyle w:val="FootnoteText"/>
      </w:pPr>
      <w:r>
        <w:rPr>
          <w:rStyle w:val="FootnoteReference"/>
        </w:rPr>
        <w:footnoteRef/>
      </w:r>
      <w:r>
        <w:t xml:space="preserve"> </w:t>
      </w:r>
      <w:r>
        <w:rPr>
          <w:i/>
        </w:rPr>
        <w:t>See id.</w:t>
      </w:r>
      <w:r>
        <w:t xml:space="preserve"> </w:t>
      </w:r>
      <w:proofErr w:type="gramStart"/>
      <w:r>
        <w:t>at</w:t>
      </w:r>
      <w:proofErr w:type="gramEnd"/>
      <w:r>
        <w:t xml:space="preserve"> *2.</w:t>
      </w:r>
    </w:p>
  </w:footnote>
  <w:footnote w:id="206">
    <w:p w14:paraId="7A91CF58" w14:textId="77777777" w:rsidR="0012014D" w:rsidRDefault="0012014D" w:rsidP="003C6B9D">
      <w:pPr>
        <w:pStyle w:val="FootnoteText"/>
      </w:pPr>
      <w:r>
        <w:rPr>
          <w:rStyle w:val="FootnoteReference"/>
        </w:rPr>
        <w:footnoteRef/>
      </w:r>
      <w:r>
        <w:t xml:space="preserve"> </w:t>
      </w:r>
      <w:r>
        <w:rPr>
          <w:i/>
        </w:rPr>
        <w:t>Id.</w:t>
      </w:r>
    </w:p>
  </w:footnote>
  <w:footnote w:id="207">
    <w:p w14:paraId="39A9DDF0" w14:textId="29B66F95" w:rsidR="0012014D" w:rsidRPr="007D4251" w:rsidRDefault="0012014D">
      <w:pPr>
        <w:pStyle w:val="FootnoteText"/>
        <w:rPr>
          <w:i/>
        </w:rPr>
      </w:pPr>
      <w:r>
        <w:rPr>
          <w:rStyle w:val="FootnoteReference"/>
        </w:rPr>
        <w:footnoteRef/>
      </w:r>
      <w:r>
        <w:t xml:space="preserve"> </w:t>
      </w:r>
      <w:r>
        <w:rPr>
          <w:i/>
        </w:rPr>
        <w:t>Id.</w:t>
      </w:r>
    </w:p>
  </w:footnote>
  <w:footnote w:id="208">
    <w:p w14:paraId="46CC510A" w14:textId="77777777" w:rsidR="0012014D" w:rsidRDefault="0012014D" w:rsidP="003C6B9D">
      <w:pPr>
        <w:pStyle w:val="FootnoteText"/>
        <w:rPr>
          <w:i/>
        </w:rPr>
      </w:pPr>
      <w:r>
        <w:rPr>
          <w:rStyle w:val="FootnoteReference"/>
        </w:rPr>
        <w:footnoteRef/>
      </w:r>
      <w:r>
        <w:t xml:space="preserve"> </w:t>
      </w:r>
      <w:r>
        <w:rPr>
          <w:i/>
        </w:rPr>
        <w:t>Id.</w:t>
      </w:r>
    </w:p>
  </w:footnote>
  <w:footnote w:id="209">
    <w:p w14:paraId="274DC008" w14:textId="4E752368" w:rsidR="0012014D" w:rsidRDefault="0012014D" w:rsidP="003C6B9D">
      <w:pPr>
        <w:pStyle w:val="FootnoteText"/>
      </w:pPr>
      <w:r>
        <w:rPr>
          <w:rStyle w:val="FootnoteReference"/>
        </w:rPr>
        <w:footnoteRef/>
      </w:r>
      <w:r>
        <w:t xml:space="preserve"> Plaintiffs-Appellees’ Motion to Dismiss or Summarily Affirm at 1, 3, </w:t>
      </w:r>
      <w:proofErr w:type="spellStart"/>
      <w:r>
        <w:t>Versata</w:t>
      </w:r>
      <w:proofErr w:type="spellEnd"/>
      <w:r>
        <w:t xml:space="preserve"> Computer Indus. Solutions, Inc. v. SAP AG, No. 2014-1430 (Fed. Cir. May 29, 2014).</w:t>
      </w:r>
    </w:p>
  </w:footnote>
  <w:footnote w:id="210">
    <w:p w14:paraId="6CCCACC0" w14:textId="77777777" w:rsidR="0012014D" w:rsidRDefault="0012014D" w:rsidP="003C6B9D">
      <w:pPr>
        <w:pStyle w:val="FootnoteText"/>
      </w:pPr>
      <w:r>
        <w:rPr>
          <w:rStyle w:val="FootnoteReference"/>
        </w:rPr>
        <w:footnoteRef/>
      </w:r>
      <w:r>
        <w:t xml:space="preserve"> Defendants-Appellants’ Response to Motion to Dismiss or Summarily Affirm at 1, </w:t>
      </w:r>
      <w:proofErr w:type="spellStart"/>
      <w:r>
        <w:t>Versata</w:t>
      </w:r>
      <w:proofErr w:type="spellEnd"/>
      <w:r>
        <w:t xml:space="preserve"> Software, Inc. v. SAP Am., Inc., No. 2014-1430 (Fed. Cir. June 12, 2014).</w:t>
      </w:r>
    </w:p>
  </w:footnote>
  <w:footnote w:id="211">
    <w:p w14:paraId="030C2449" w14:textId="1A934D58" w:rsidR="0012014D" w:rsidRDefault="0012014D" w:rsidP="003C6B9D">
      <w:pPr>
        <w:pStyle w:val="FootnoteText"/>
      </w:pPr>
      <w:r>
        <w:rPr>
          <w:rStyle w:val="FootnoteReference"/>
        </w:rPr>
        <w:footnoteRef/>
      </w:r>
      <w:r>
        <w:t xml:space="preserve"> </w:t>
      </w:r>
      <w:proofErr w:type="spellStart"/>
      <w:r>
        <w:t>Versata</w:t>
      </w:r>
      <w:proofErr w:type="spellEnd"/>
      <w:r>
        <w:t xml:space="preserve"> Computer Indus. Solutions, Inc. v. SAP AG, 564 F. </w:t>
      </w:r>
      <w:proofErr w:type="spellStart"/>
      <w:r>
        <w:t>App’x</w:t>
      </w:r>
      <w:proofErr w:type="spellEnd"/>
      <w:r>
        <w:t xml:space="preserve"> 600 (Fed. Cir. 2014).</w:t>
      </w:r>
    </w:p>
  </w:footnote>
  <w:footnote w:id="212">
    <w:p w14:paraId="38E74791" w14:textId="6A8E375C" w:rsidR="0012014D" w:rsidRPr="00A76110" w:rsidRDefault="0012014D" w:rsidP="00A76110">
      <w:pPr>
        <w:pStyle w:val="FootnoteText"/>
      </w:pPr>
      <w:r>
        <w:rPr>
          <w:rStyle w:val="FootnoteReference"/>
        </w:rPr>
        <w:footnoteRef/>
      </w:r>
      <w:r>
        <w:t xml:space="preserve"> </w:t>
      </w:r>
      <w:r>
        <w:rPr>
          <w:i/>
        </w:rPr>
        <w:t>See</w:t>
      </w:r>
      <w:r>
        <w:t xml:space="preserve"> </w:t>
      </w:r>
      <w:proofErr w:type="spellStart"/>
      <w:r>
        <w:t>Versata</w:t>
      </w:r>
      <w:proofErr w:type="spellEnd"/>
      <w:r>
        <w:t xml:space="preserve"> Dev. Grp., Inc. v. SAP Am., Inc., </w:t>
      </w:r>
      <w:r w:rsidRPr="0035331A">
        <w:t>793 F.3d 1306</w:t>
      </w:r>
      <w:r>
        <w:t xml:space="preserve">, 1336 (Fed. Cir. 2015) (affirming the PTAB’s decision to invalidate </w:t>
      </w:r>
      <w:proofErr w:type="spellStart"/>
      <w:r>
        <w:t>Versata’s</w:t>
      </w:r>
      <w:proofErr w:type="spellEnd"/>
      <w:r>
        <w:t xml:space="preserve"> patent).</w:t>
      </w:r>
    </w:p>
  </w:footnote>
  <w:footnote w:id="213">
    <w:p w14:paraId="2533D791" w14:textId="08A4643D" w:rsidR="0012014D" w:rsidRPr="00AF7AD7" w:rsidRDefault="0012014D">
      <w:pPr>
        <w:pStyle w:val="FootnoteText"/>
      </w:pPr>
      <w:r>
        <w:rPr>
          <w:rStyle w:val="FootnoteReference"/>
        </w:rPr>
        <w:footnoteRef/>
      </w:r>
      <w:r>
        <w:t xml:space="preserve"> After the Federal Circuit decided the second appeal in the infringement litigation, the parties settled the infringement dispute.  </w:t>
      </w:r>
      <w:r>
        <w:rPr>
          <w:i/>
        </w:rPr>
        <w:t xml:space="preserve">See </w:t>
      </w:r>
      <w:proofErr w:type="spellStart"/>
      <w:r>
        <w:t>Versata</w:t>
      </w:r>
      <w:proofErr w:type="spellEnd"/>
      <w:r>
        <w:t xml:space="preserve"> Software, Inc. v. SAP Am., Inc., No. 2:07cv153 (E.D. Tex. Oct. 3, 2014) (ECF No. 631).</w:t>
      </w:r>
    </w:p>
  </w:footnote>
  <w:footnote w:id="214">
    <w:p w14:paraId="2B488CA0" w14:textId="31781ED6" w:rsidR="0012014D" w:rsidRDefault="0012014D" w:rsidP="003C6B9D">
      <w:pPr>
        <w:pStyle w:val="FootnoteText"/>
      </w:pPr>
      <w:r>
        <w:rPr>
          <w:rStyle w:val="FootnoteReference"/>
        </w:rPr>
        <w:footnoteRef/>
      </w:r>
      <w:r>
        <w:t xml:space="preserve"> </w:t>
      </w:r>
      <w:r w:rsidRPr="00C437F4">
        <w:t>789 F.3d 1349</w:t>
      </w:r>
      <w:r>
        <w:t xml:space="preserve"> (Fed. Cir. 2015).</w:t>
      </w:r>
    </w:p>
  </w:footnote>
  <w:footnote w:id="215">
    <w:p w14:paraId="194795F5" w14:textId="0C421903" w:rsidR="0012014D" w:rsidRDefault="0012014D" w:rsidP="003C6B9D">
      <w:pPr>
        <w:pStyle w:val="FootnoteText"/>
      </w:pPr>
      <w:r>
        <w:rPr>
          <w:rStyle w:val="FootnoteReference"/>
        </w:rPr>
        <w:footnoteRef/>
      </w:r>
      <w:r>
        <w:t xml:space="preserve"> </w:t>
      </w:r>
      <w:r>
        <w:rPr>
          <w:i/>
        </w:rPr>
        <w:t>Id.</w:t>
      </w:r>
      <w:r>
        <w:t xml:space="preserve"> at 1351.</w:t>
      </w:r>
    </w:p>
  </w:footnote>
  <w:footnote w:id="216">
    <w:p w14:paraId="6A50994D" w14:textId="77777777" w:rsidR="0012014D" w:rsidRDefault="0012014D" w:rsidP="003C6B9D">
      <w:pPr>
        <w:pStyle w:val="FootnoteText"/>
        <w:rPr>
          <w:i/>
        </w:rPr>
      </w:pPr>
      <w:r>
        <w:rPr>
          <w:rStyle w:val="FootnoteReference"/>
        </w:rPr>
        <w:footnoteRef/>
      </w:r>
      <w:r>
        <w:t xml:space="preserve"> </w:t>
      </w:r>
      <w:r>
        <w:rPr>
          <w:i/>
        </w:rPr>
        <w:t>Id.</w:t>
      </w:r>
    </w:p>
  </w:footnote>
  <w:footnote w:id="217">
    <w:p w14:paraId="3116177F" w14:textId="77777777" w:rsidR="0012014D" w:rsidRDefault="0012014D" w:rsidP="003C6B9D">
      <w:pPr>
        <w:pStyle w:val="FootnoteText"/>
        <w:rPr>
          <w:i/>
        </w:rPr>
      </w:pPr>
      <w:r>
        <w:rPr>
          <w:rStyle w:val="FootnoteReference"/>
        </w:rPr>
        <w:footnoteRef/>
      </w:r>
      <w:r>
        <w:t xml:space="preserve"> </w:t>
      </w:r>
      <w:r>
        <w:rPr>
          <w:i/>
        </w:rPr>
        <w:t>Id.</w:t>
      </w:r>
    </w:p>
  </w:footnote>
  <w:footnote w:id="218">
    <w:p w14:paraId="37903050" w14:textId="76BCB1C6" w:rsidR="0012014D" w:rsidRDefault="0012014D" w:rsidP="003C6B9D">
      <w:pPr>
        <w:pStyle w:val="FootnoteText"/>
      </w:pPr>
      <w:r>
        <w:rPr>
          <w:rStyle w:val="FootnoteReference"/>
        </w:rPr>
        <w:footnoteRef/>
      </w:r>
      <w:r>
        <w:t xml:space="preserve"> </w:t>
      </w:r>
      <w:r>
        <w:rPr>
          <w:i/>
        </w:rPr>
        <w:t>Id.</w:t>
      </w:r>
      <w:r>
        <w:t xml:space="preserve"> at 1352.</w:t>
      </w:r>
    </w:p>
  </w:footnote>
  <w:footnote w:id="219">
    <w:p w14:paraId="319A4A59" w14:textId="77777777" w:rsidR="0012014D" w:rsidRDefault="0012014D" w:rsidP="003C6B9D">
      <w:pPr>
        <w:pStyle w:val="FootnoteText"/>
        <w:rPr>
          <w:i/>
        </w:rPr>
      </w:pPr>
      <w:r>
        <w:rPr>
          <w:rStyle w:val="FootnoteReference"/>
        </w:rPr>
        <w:footnoteRef/>
      </w:r>
      <w:r>
        <w:t xml:space="preserve"> </w:t>
      </w:r>
      <w:r>
        <w:rPr>
          <w:i/>
        </w:rPr>
        <w:t>Id.</w:t>
      </w:r>
    </w:p>
  </w:footnote>
  <w:footnote w:id="220">
    <w:p w14:paraId="072317A5" w14:textId="77777777" w:rsidR="0012014D" w:rsidRDefault="0012014D" w:rsidP="003C6B9D">
      <w:pPr>
        <w:pStyle w:val="FootnoteText"/>
        <w:rPr>
          <w:i/>
        </w:rPr>
      </w:pPr>
      <w:r>
        <w:rPr>
          <w:rStyle w:val="FootnoteReference"/>
        </w:rPr>
        <w:footnoteRef/>
      </w:r>
      <w:r>
        <w:t xml:space="preserve"> </w:t>
      </w:r>
      <w:r>
        <w:rPr>
          <w:i/>
        </w:rPr>
        <w:t>Id.</w:t>
      </w:r>
    </w:p>
  </w:footnote>
  <w:footnote w:id="221">
    <w:p w14:paraId="498E1AE8" w14:textId="6E361109" w:rsidR="0012014D" w:rsidRDefault="0012014D">
      <w:pPr>
        <w:pStyle w:val="FootnoteText"/>
      </w:pPr>
      <w:r>
        <w:rPr>
          <w:rStyle w:val="FootnoteReference"/>
        </w:rPr>
        <w:footnoteRef/>
      </w:r>
      <w:r>
        <w:t xml:space="preserve"> </w:t>
      </w:r>
      <w:proofErr w:type="spellStart"/>
      <w:proofErr w:type="gramStart"/>
      <w:r>
        <w:t>ePlus</w:t>
      </w:r>
      <w:proofErr w:type="spellEnd"/>
      <w:proofErr w:type="gramEnd"/>
      <w:r>
        <w:t>, Inc. v. Lawson Software, Inc., 700 F.3d 509, 520, 522 (Fed. Cir. 2012).</w:t>
      </w:r>
    </w:p>
  </w:footnote>
  <w:footnote w:id="222">
    <w:p w14:paraId="2DDCF7B6" w14:textId="7A885B4C" w:rsidR="0012014D" w:rsidRPr="00DE5826" w:rsidRDefault="0012014D">
      <w:pPr>
        <w:pStyle w:val="FootnoteText"/>
      </w:pPr>
      <w:r>
        <w:rPr>
          <w:rStyle w:val="FootnoteReference"/>
        </w:rPr>
        <w:footnoteRef/>
      </w:r>
      <w:r>
        <w:t xml:space="preserve"> </w:t>
      </w:r>
      <w:r>
        <w:rPr>
          <w:i/>
        </w:rPr>
        <w:t>Id.</w:t>
      </w:r>
      <w:r>
        <w:t xml:space="preserve"> at 521.  Lawson did not argue on appeal the claim 26 was invalid.  </w:t>
      </w:r>
      <w:r>
        <w:rPr>
          <w:i/>
        </w:rPr>
        <w:t>See id.</w:t>
      </w:r>
      <w:r>
        <w:t xml:space="preserve"> </w:t>
      </w:r>
      <w:proofErr w:type="gramStart"/>
      <w:r>
        <w:t>at</w:t>
      </w:r>
      <w:proofErr w:type="gramEnd"/>
      <w:r>
        <w:t xml:space="preserve"> 517-20.</w:t>
      </w:r>
    </w:p>
  </w:footnote>
  <w:footnote w:id="223">
    <w:p w14:paraId="6F047821" w14:textId="671DEC93" w:rsidR="0012014D" w:rsidRPr="008C140D" w:rsidRDefault="0012014D">
      <w:pPr>
        <w:pStyle w:val="FootnoteText"/>
      </w:pPr>
      <w:r>
        <w:rPr>
          <w:rStyle w:val="FootnoteReference"/>
        </w:rPr>
        <w:footnoteRef/>
      </w:r>
      <w:r>
        <w:t xml:space="preserve"> </w:t>
      </w:r>
      <w:r>
        <w:rPr>
          <w:i/>
        </w:rPr>
        <w:t>Id.</w:t>
      </w:r>
      <w:r>
        <w:t xml:space="preserve"> at 523.</w:t>
      </w:r>
    </w:p>
  </w:footnote>
  <w:footnote w:id="224">
    <w:p w14:paraId="1E10DF30" w14:textId="1335851E" w:rsidR="0012014D" w:rsidRPr="00E8084F" w:rsidRDefault="0012014D">
      <w:pPr>
        <w:pStyle w:val="FootnoteText"/>
      </w:pPr>
      <w:r>
        <w:rPr>
          <w:rStyle w:val="FootnoteReference"/>
        </w:rPr>
        <w:footnoteRef/>
      </w:r>
      <w:r>
        <w:t xml:space="preserve"> </w:t>
      </w:r>
      <w:proofErr w:type="spellStart"/>
      <w:proofErr w:type="gramStart"/>
      <w:r>
        <w:rPr>
          <w:i/>
        </w:rPr>
        <w:t>ePlus</w:t>
      </w:r>
      <w:proofErr w:type="spellEnd"/>
      <w:proofErr w:type="gramEnd"/>
      <w:r>
        <w:t>, 789 F.3d at 1353.</w:t>
      </w:r>
    </w:p>
  </w:footnote>
  <w:footnote w:id="225">
    <w:p w14:paraId="3A159393" w14:textId="6781E76F" w:rsidR="0012014D" w:rsidRPr="00E8084F" w:rsidRDefault="0012014D" w:rsidP="00E8084F">
      <w:pPr>
        <w:pStyle w:val="FootnoteText"/>
        <w:rPr>
          <w:i/>
        </w:rPr>
      </w:pPr>
      <w:r>
        <w:rPr>
          <w:rStyle w:val="FootnoteReference"/>
        </w:rPr>
        <w:footnoteRef/>
      </w:r>
      <w:r>
        <w:t xml:space="preserve"> </w:t>
      </w:r>
      <w:proofErr w:type="spellStart"/>
      <w:proofErr w:type="gramStart"/>
      <w:r w:rsidRPr="00E8084F">
        <w:t>ePlus</w:t>
      </w:r>
      <w:proofErr w:type="spellEnd"/>
      <w:proofErr w:type="gramEnd"/>
      <w:r w:rsidRPr="00E8084F">
        <w:t xml:space="preserve"> Inc. v. Lawson Software, Inc., 946 F. Supp. 2d 472, 490 (E.D. Va. 2013)</w:t>
      </w:r>
      <w:r>
        <w:t>.</w:t>
      </w:r>
    </w:p>
  </w:footnote>
  <w:footnote w:id="226">
    <w:p w14:paraId="4BF023EB" w14:textId="121C9B0F" w:rsidR="0012014D" w:rsidRPr="009C7AD9" w:rsidRDefault="0012014D">
      <w:pPr>
        <w:pStyle w:val="FootnoteText"/>
      </w:pPr>
      <w:r>
        <w:rPr>
          <w:rStyle w:val="FootnoteReference"/>
        </w:rPr>
        <w:footnoteRef/>
      </w:r>
      <w:r>
        <w:t xml:space="preserve"> </w:t>
      </w:r>
      <w:proofErr w:type="spellStart"/>
      <w:proofErr w:type="gramStart"/>
      <w:r>
        <w:rPr>
          <w:i/>
        </w:rPr>
        <w:t>ePlus</w:t>
      </w:r>
      <w:proofErr w:type="spellEnd"/>
      <w:proofErr w:type="gramEnd"/>
      <w:r>
        <w:t>, 789 F.3d at 1354.</w:t>
      </w:r>
    </w:p>
  </w:footnote>
  <w:footnote w:id="227">
    <w:p w14:paraId="5FAD821B" w14:textId="774F3C54" w:rsidR="0012014D" w:rsidRDefault="0012014D" w:rsidP="00904311">
      <w:pPr>
        <w:pStyle w:val="FootnoteText"/>
      </w:pPr>
      <w:r>
        <w:rPr>
          <w:rStyle w:val="FootnoteReference"/>
        </w:rPr>
        <w:footnoteRef/>
      </w:r>
      <w:r>
        <w:t xml:space="preserve"> </w:t>
      </w:r>
      <w:r w:rsidRPr="00904311">
        <w:rPr>
          <w:i/>
        </w:rPr>
        <w:t>Ex Parte</w:t>
      </w:r>
      <w:r>
        <w:t xml:space="preserve"> </w:t>
      </w:r>
      <w:proofErr w:type="spellStart"/>
      <w:r>
        <w:t>ePlus</w:t>
      </w:r>
      <w:proofErr w:type="spellEnd"/>
      <w:r>
        <w:t>, Inc., No. 2010-7804, 2011 WL 1918594, at *1 (B.P.A.I. May 18, 2011).</w:t>
      </w:r>
    </w:p>
  </w:footnote>
  <w:footnote w:id="228">
    <w:p w14:paraId="1369E890" w14:textId="477D4FA4" w:rsidR="0012014D" w:rsidRPr="009C7AD9" w:rsidRDefault="0012014D" w:rsidP="009C7AD9">
      <w:pPr>
        <w:pStyle w:val="FootnoteText"/>
        <w:rPr>
          <w:i/>
        </w:rPr>
      </w:pPr>
      <w:r>
        <w:rPr>
          <w:rStyle w:val="FootnoteReference"/>
        </w:rPr>
        <w:footnoteRef/>
      </w:r>
      <w:r>
        <w:t xml:space="preserve"> </w:t>
      </w:r>
      <w:r>
        <w:rPr>
          <w:i/>
        </w:rPr>
        <w:t xml:space="preserve">See </w:t>
      </w:r>
      <w:r w:rsidRPr="009C7AD9">
        <w:rPr>
          <w:i/>
        </w:rPr>
        <w:t xml:space="preserve">Ex Parte </w:t>
      </w:r>
      <w:proofErr w:type="spellStart"/>
      <w:r>
        <w:t>eP</w:t>
      </w:r>
      <w:r w:rsidRPr="009C7AD9">
        <w:t>lus</w:t>
      </w:r>
      <w:proofErr w:type="spellEnd"/>
      <w:r w:rsidRPr="009C7AD9">
        <w:t xml:space="preserve">, Inc., </w:t>
      </w:r>
      <w:r>
        <w:t>No.</w:t>
      </w:r>
      <w:r w:rsidRPr="009C7AD9">
        <w:t xml:space="preserve"> 20</w:t>
      </w:r>
      <w:r>
        <w:t>10-</w:t>
      </w:r>
      <w:r w:rsidRPr="009C7AD9">
        <w:t>7804, 2012 WL 1050566, at *1 (</w:t>
      </w:r>
      <w:r>
        <w:t xml:space="preserve">B.P.A.I. </w:t>
      </w:r>
      <w:r w:rsidRPr="009C7AD9">
        <w:t>Mar. 23, 2012)</w:t>
      </w:r>
      <w:r>
        <w:t>.</w:t>
      </w:r>
    </w:p>
  </w:footnote>
  <w:footnote w:id="229">
    <w:p w14:paraId="2BED3CAE" w14:textId="5C71889D" w:rsidR="0012014D" w:rsidRDefault="0012014D" w:rsidP="009C7AD9">
      <w:pPr>
        <w:pStyle w:val="FootnoteText"/>
      </w:pPr>
      <w:r>
        <w:rPr>
          <w:rStyle w:val="FootnoteReference"/>
        </w:rPr>
        <w:footnoteRef/>
      </w:r>
      <w:r>
        <w:t xml:space="preserve"> </w:t>
      </w:r>
      <w:r w:rsidRPr="009C7AD9">
        <w:rPr>
          <w:i/>
        </w:rPr>
        <w:t>In re</w:t>
      </w:r>
      <w:r>
        <w:t xml:space="preserve"> </w:t>
      </w:r>
      <w:proofErr w:type="spellStart"/>
      <w:r>
        <w:t>ePlus</w:t>
      </w:r>
      <w:proofErr w:type="spellEnd"/>
      <w:r>
        <w:t xml:space="preserve">, Inc., 540 F. </w:t>
      </w:r>
      <w:proofErr w:type="spellStart"/>
      <w:r>
        <w:t>App’x</w:t>
      </w:r>
      <w:proofErr w:type="spellEnd"/>
      <w:r>
        <w:t xml:space="preserve"> 998 (Fed. Cir. 2013).</w:t>
      </w:r>
    </w:p>
  </w:footnote>
  <w:footnote w:id="230">
    <w:p w14:paraId="22D2B01F" w14:textId="782B5264" w:rsidR="0012014D" w:rsidRPr="00C06E38" w:rsidRDefault="0012014D">
      <w:pPr>
        <w:pStyle w:val="FootnoteText"/>
      </w:pPr>
      <w:r>
        <w:rPr>
          <w:rStyle w:val="FootnoteReference"/>
        </w:rPr>
        <w:footnoteRef/>
      </w:r>
      <w:r>
        <w:t xml:space="preserve"> </w:t>
      </w:r>
      <w:proofErr w:type="spellStart"/>
      <w:proofErr w:type="gramStart"/>
      <w:r>
        <w:rPr>
          <w:i/>
        </w:rPr>
        <w:t>ePlus</w:t>
      </w:r>
      <w:proofErr w:type="spellEnd"/>
      <w:proofErr w:type="gramEnd"/>
      <w:r>
        <w:t xml:space="preserve">, 789 F.3d at 1356 (citing </w:t>
      </w:r>
      <w:r w:rsidRPr="00832E69">
        <w:t>Pennsylvania v. Wheeling &amp; Belmont Bridge Co., 54 U.S. (13 How.) 5</w:t>
      </w:r>
      <w:r>
        <w:t>18 (1851)).</w:t>
      </w:r>
    </w:p>
  </w:footnote>
  <w:footnote w:id="231">
    <w:p w14:paraId="509CF679" w14:textId="37AC37B5" w:rsidR="0012014D" w:rsidRPr="00C06E38" w:rsidRDefault="0012014D">
      <w:pPr>
        <w:pStyle w:val="FootnoteText"/>
      </w:pPr>
      <w:r>
        <w:rPr>
          <w:rStyle w:val="FootnoteReference"/>
        </w:rPr>
        <w:footnoteRef/>
      </w:r>
      <w:r>
        <w:t xml:space="preserve"> </w:t>
      </w:r>
      <w:r>
        <w:rPr>
          <w:i/>
        </w:rPr>
        <w:t>Id.</w:t>
      </w:r>
      <w:r>
        <w:t xml:space="preserve"> at 1358 (internal quotation marks omitted).</w:t>
      </w:r>
    </w:p>
  </w:footnote>
  <w:footnote w:id="232">
    <w:p w14:paraId="553B4673" w14:textId="5570880C" w:rsidR="0012014D" w:rsidRPr="00C06E38" w:rsidRDefault="0012014D">
      <w:pPr>
        <w:pStyle w:val="FootnoteText"/>
      </w:pPr>
      <w:r>
        <w:rPr>
          <w:rStyle w:val="FootnoteReference"/>
        </w:rPr>
        <w:footnoteRef/>
      </w:r>
      <w:r>
        <w:t xml:space="preserve"> </w:t>
      </w:r>
      <w:r>
        <w:rPr>
          <w:i/>
        </w:rPr>
        <w:t>Id.</w:t>
      </w:r>
      <w:r>
        <w:t xml:space="preserve"> (quoting Fresenius USA, Inc. v. Baxter Int’l, Inc., 721 F.3d 1330, 1341 (Fed. Cir. 2013)) (internal quotation marks omitted).</w:t>
      </w:r>
    </w:p>
  </w:footnote>
  <w:footnote w:id="233">
    <w:p w14:paraId="4AEADBDC" w14:textId="4BECD754" w:rsidR="0012014D" w:rsidRPr="00EB33CC" w:rsidRDefault="0012014D" w:rsidP="00D273E4">
      <w:pPr>
        <w:pStyle w:val="FootnoteText"/>
      </w:pPr>
      <w:r>
        <w:rPr>
          <w:rStyle w:val="FootnoteReference"/>
        </w:rPr>
        <w:footnoteRef/>
      </w:r>
      <w:r>
        <w:t xml:space="preserve"> </w:t>
      </w:r>
      <w:r>
        <w:rPr>
          <w:i/>
        </w:rPr>
        <w:t>Id.</w:t>
      </w:r>
      <w:r>
        <w:t xml:space="preserve"> at 1361.</w:t>
      </w:r>
    </w:p>
  </w:footnote>
  <w:footnote w:id="234">
    <w:p w14:paraId="4492153F" w14:textId="38330523" w:rsidR="0012014D" w:rsidRPr="00154CE3" w:rsidRDefault="0012014D">
      <w:pPr>
        <w:pStyle w:val="FootnoteText"/>
      </w:pPr>
      <w:r>
        <w:rPr>
          <w:rStyle w:val="FootnoteReference"/>
        </w:rPr>
        <w:footnoteRef/>
      </w:r>
      <w:r>
        <w:t xml:space="preserve"> </w:t>
      </w:r>
      <w:r>
        <w:rPr>
          <w:i/>
        </w:rPr>
        <w:t xml:space="preserve">Id. </w:t>
      </w:r>
      <w:r>
        <w:t>at 1362.</w:t>
      </w:r>
      <w:r>
        <w:rPr>
          <w:i/>
        </w:rPr>
        <w:t xml:space="preserve">  </w:t>
      </w:r>
      <w:r>
        <w:t xml:space="preserve">In dissent, Judge O’Malley argued that </w:t>
      </w:r>
      <w:r>
        <w:rPr>
          <w:i/>
        </w:rPr>
        <w:t>Fresenius</w:t>
      </w:r>
      <w:r>
        <w:t xml:space="preserve"> was distinguishable from the case at hand because, among other things, </w:t>
      </w:r>
      <w:proofErr w:type="spellStart"/>
      <w:r>
        <w:t>ePlus</w:t>
      </w:r>
      <w:proofErr w:type="spellEnd"/>
      <w:r>
        <w:t xml:space="preserve">, the patent holder, never appealed the Federal Circuit’s ruling on the validity of the infringed patent claim (claim 26).  </w:t>
      </w:r>
      <w:r>
        <w:rPr>
          <w:i/>
        </w:rPr>
        <w:t>Id.</w:t>
      </w:r>
      <w:r>
        <w:t xml:space="preserve"> at 1367 (O’Malley, J., dissenting).  Also, reiterating views expressed in her dissent from the denial of rehearing en banc in </w:t>
      </w:r>
      <w:r w:rsidRPr="00F65080">
        <w:rPr>
          <w:i/>
        </w:rPr>
        <w:t>Fresenius</w:t>
      </w:r>
      <w:r>
        <w:t xml:space="preserve">, she argued that </w:t>
      </w:r>
      <w:r w:rsidRPr="00003AB8">
        <w:t>the absolute finality rule is</w:t>
      </w:r>
      <w:r>
        <w:t xml:space="preserve"> “</w:t>
      </w:r>
      <w:r w:rsidRPr="00003AB8">
        <w:t>contrary to the well-established law of finality</w:t>
      </w:r>
      <w:r>
        <w:t xml:space="preserve">.”   </w:t>
      </w:r>
      <w:r>
        <w:rPr>
          <w:i/>
        </w:rPr>
        <w:t>Id.</w:t>
      </w:r>
      <w:r>
        <w:t xml:space="preserve"> at 1370.</w:t>
      </w:r>
    </w:p>
  </w:footnote>
  <w:footnote w:id="235">
    <w:p w14:paraId="66D0F67F" w14:textId="6598D208" w:rsidR="0012014D" w:rsidRDefault="0012014D" w:rsidP="00C3377C">
      <w:pPr>
        <w:pStyle w:val="FootnoteText"/>
      </w:pPr>
      <w:r>
        <w:rPr>
          <w:rStyle w:val="FootnoteReference"/>
        </w:rPr>
        <w:footnoteRef/>
      </w:r>
      <w:r>
        <w:t xml:space="preserve"> </w:t>
      </w:r>
      <w:proofErr w:type="spellStart"/>
      <w:proofErr w:type="gramStart"/>
      <w:r>
        <w:t>ePlus</w:t>
      </w:r>
      <w:proofErr w:type="spellEnd"/>
      <w:proofErr w:type="gramEnd"/>
      <w:r>
        <w:t>, Inc. v. Lawson Software, Inc., 790 F.3d 1307 (Fed. Cir. 2015).</w:t>
      </w:r>
    </w:p>
  </w:footnote>
  <w:footnote w:id="236">
    <w:p w14:paraId="338B62C0" w14:textId="75FE6E82" w:rsidR="0012014D" w:rsidRPr="00177B96" w:rsidRDefault="0012014D">
      <w:pPr>
        <w:pStyle w:val="FootnoteText"/>
      </w:pPr>
      <w:r>
        <w:rPr>
          <w:rStyle w:val="FootnoteReference"/>
        </w:rPr>
        <w:footnoteRef/>
      </w:r>
      <w:r>
        <w:t xml:space="preserve"> </w:t>
      </w:r>
      <w:r>
        <w:rPr>
          <w:i/>
        </w:rPr>
        <w:t>Id.</w:t>
      </w:r>
      <w:r>
        <w:t xml:space="preserve"> at 1311 (Newman, J., dissenting from denial of rehearing </w:t>
      </w:r>
      <w:proofErr w:type="spellStart"/>
      <w:r>
        <w:t>en</w:t>
      </w:r>
      <w:proofErr w:type="spellEnd"/>
      <w:r>
        <w:t xml:space="preserve"> banc) (citing </w:t>
      </w:r>
      <w:proofErr w:type="spellStart"/>
      <w:r>
        <w:t>Zdanok</w:t>
      </w:r>
      <w:proofErr w:type="spellEnd"/>
      <w:r>
        <w:t xml:space="preserve"> v. Glidden Co., 327 F.2d 944, 955 (2d Cir. 1964)).</w:t>
      </w:r>
    </w:p>
  </w:footnote>
  <w:footnote w:id="237">
    <w:p w14:paraId="2CAD796C" w14:textId="3CE25568" w:rsidR="0012014D" w:rsidRPr="00074CB3" w:rsidRDefault="0012014D">
      <w:pPr>
        <w:pStyle w:val="FootnoteText"/>
      </w:pPr>
      <w:r>
        <w:rPr>
          <w:rStyle w:val="FootnoteReference"/>
        </w:rPr>
        <w:footnoteRef/>
      </w:r>
      <w:r>
        <w:t xml:space="preserve"> </w:t>
      </w:r>
      <w:r>
        <w:rPr>
          <w:i/>
        </w:rPr>
        <w:t>Id.</w:t>
      </w:r>
      <w:r>
        <w:t xml:space="preserve"> at 1315 (O’Malley, J., dissenting from denial of rehearing en banc).</w:t>
      </w:r>
    </w:p>
  </w:footnote>
  <w:footnote w:id="238">
    <w:p w14:paraId="3C8F1A82" w14:textId="51F34B13" w:rsidR="0012014D" w:rsidRDefault="0012014D">
      <w:pPr>
        <w:pStyle w:val="FootnoteText"/>
      </w:pPr>
      <w:r>
        <w:rPr>
          <w:rStyle w:val="FootnoteReference"/>
        </w:rPr>
        <w:footnoteRef/>
      </w:r>
      <w:r>
        <w:t xml:space="preserve"> </w:t>
      </w:r>
      <w:r>
        <w:rPr>
          <w:i/>
        </w:rPr>
        <w:t xml:space="preserve">Id. </w:t>
      </w:r>
      <w:r>
        <w:t xml:space="preserve">at 1314 (Moore, J., dissenting from denial of rehearing en banc).  </w:t>
      </w:r>
    </w:p>
  </w:footnote>
  <w:footnote w:id="239">
    <w:p w14:paraId="2E2D0C18" w14:textId="5376E151" w:rsidR="0012014D" w:rsidRPr="00DE6BB8" w:rsidRDefault="0012014D">
      <w:pPr>
        <w:pStyle w:val="FootnoteText"/>
      </w:pPr>
      <w:r>
        <w:rPr>
          <w:rStyle w:val="FootnoteReference"/>
        </w:rPr>
        <w:footnoteRef/>
      </w:r>
      <w:r>
        <w:t xml:space="preserve"> </w:t>
      </w:r>
      <w:r>
        <w:rPr>
          <w:i/>
        </w:rPr>
        <w:t xml:space="preserve">Id. </w:t>
      </w:r>
      <w:r>
        <w:t>at 1315.</w:t>
      </w:r>
    </w:p>
  </w:footnote>
  <w:footnote w:id="240">
    <w:p w14:paraId="6F195A3A" w14:textId="1953701D" w:rsidR="0012014D" w:rsidRDefault="0012014D" w:rsidP="00FE1833">
      <w:pPr>
        <w:pStyle w:val="FootnoteText"/>
      </w:pPr>
      <w:r>
        <w:rPr>
          <w:rStyle w:val="FootnoteReference"/>
        </w:rPr>
        <w:footnoteRef/>
      </w:r>
      <w:r>
        <w:t xml:space="preserve"> </w:t>
      </w:r>
      <w:r w:rsidRPr="00792F7C">
        <w:t>Fr</w:t>
      </w:r>
      <w:r>
        <w:t>esenius USA, Inc. v. Baxter Int’</w:t>
      </w:r>
      <w:r w:rsidRPr="00792F7C">
        <w:t>l, Inc., 733 F</w:t>
      </w:r>
      <w:r>
        <w:t>.3d 1369, 1371 (Fed. Cir. 2013)</w:t>
      </w:r>
      <w:r w:rsidRPr="00792F7C">
        <w:t xml:space="preserve"> </w:t>
      </w:r>
      <w:r>
        <w:t>(</w:t>
      </w:r>
      <w:proofErr w:type="spellStart"/>
      <w:r>
        <w:t>Dyk</w:t>
      </w:r>
      <w:proofErr w:type="spellEnd"/>
      <w:r>
        <w:t>, J., concurring in denial of rehearing en banc).</w:t>
      </w:r>
    </w:p>
  </w:footnote>
  <w:footnote w:id="241">
    <w:p w14:paraId="3AA74873" w14:textId="1F99EB41" w:rsidR="0012014D" w:rsidRDefault="0012014D" w:rsidP="00FE1833">
      <w:pPr>
        <w:pStyle w:val="FootnoteText"/>
      </w:pPr>
      <w:r>
        <w:rPr>
          <w:rStyle w:val="FootnoteReference"/>
        </w:rPr>
        <w:footnoteRef/>
      </w:r>
      <w:r>
        <w:t xml:space="preserve"> </w:t>
      </w:r>
      <w:r>
        <w:rPr>
          <w:i/>
        </w:rPr>
        <w:t xml:space="preserve">See </w:t>
      </w:r>
      <w:r>
        <w:t xml:space="preserve">11 </w:t>
      </w:r>
      <w:r w:rsidRPr="0057036D">
        <w:rPr>
          <w:smallCaps/>
        </w:rPr>
        <w:t>Charles Alan Wright et al., Federal Practice and Procedure</w:t>
      </w:r>
      <w:r>
        <w:t xml:space="preserve"> § 2905 (3d ed. 2012); </w:t>
      </w:r>
      <w:r>
        <w:rPr>
          <w:i/>
        </w:rPr>
        <w:t>see also</w:t>
      </w:r>
      <w:r>
        <w:t xml:space="preserve"> </w:t>
      </w:r>
      <w:r w:rsidRPr="00676092">
        <w:rPr>
          <w:smallCaps/>
        </w:rPr>
        <w:t>Fed. R. Civ. P.</w:t>
      </w:r>
      <w:r>
        <w:t xml:space="preserve"> 62(d) (“</w:t>
      </w:r>
      <w:r w:rsidRPr="00676092">
        <w:t xml:space="preserve">If an appeal is taken, the appellant may obtain a stay by </w:t>
      </w:r>
      <w:proofErr w:type="spellStart"/>
      <w:r w:rsidRPr="00676092">
        <w:t>supersedeas</w:t>
      </w:r>
      <w:proofErr w:type="spellEnd"/>
      <w:r w:rsidRPr="00676092">
        <w:t xml:space="preserve"> bond</w:t>
      </w:r>
      <w:r>
        <w:t xml:space="preserve"> . . . .”).</w:t>
      </w:r>
    </w:p>
  </w:footnote>
  <w:footnote w:id="242">
    <w:p w14:paraId="3E93347A" w14:textId="3FC2C772" w:rsidR="0012014D" w:rsidRPr="00285563" w:rsidRDefault="0012014D" w:rsidP="00285563">
      <w:pPr>
        <w:pStyle w:val="FootnoteText"/>
        <w:rPr>
          <w:i/>
        </w:rPr>
      </w:pPr>
      <w:r>
        <w:rPr>
          <w:rStyle w:val="FootnoteReference"/>
        </w:rPr>
        <w:footnoteRef/>
      </w:r>
      <w:r>
        <w:t xml:space="preserve"> </w:t>
      </w:r>
      <w:proofErr w:type="spellStart"/>
      <w:proofErr w:type="gramStart"/>
      <w:r w:rsidRPr="00285563">
        <w:t>ePlus</w:t>
      </w:r>
      <w:proofErr w:type="spellEnd"/>
      <w:proofErr w:type="gramEnd"/>
      <w:r w:rsidRPr="00285563">
        <w:t>,</w:t>
      </w:r>
      <w:r>
        <w:t xml:space="preserve"> Inc. v. Lawson Software, Inc., </w:t>
      </w:r>
      <w:r w:rsidRPr="002C5D59">
        <w:t>789 F.3d 1349</w:t>
      </w:r>
      <w:r>
        <w:t xml:space="preserve">, 1361 (Fed. Cir. </w:t>
      </w:r>
      <w:r w:rsidRPr="00285563">
        <w:t>2015)</w:t>
      </w:r>
      <w:r>
        <w:t>.</w:t>
      </w:r>
    </w:p>
  </w:footnote>
  <w:footnote w:id="243">
    <w:p w14:paraId="421C214D" w14:textId="2DA44758" w:rsidR="0012014D" w:rsidRDefault="0012014D" w:rsidP="00477174">
      <w:pPr>
        <w:pStyle w:val="FootnoteText"/>
      </w:pPr>
      <w:r>
        <w:rPr>
          <w:rStyle w:val="FootnoteReference"/>
        </w:rPr>
        <w:footnoteRef/>
      </w:r>
      <w:r>
        <w:t xml:space="preserve"> </w:t>
      </w:r>
      <w:r>
        <w:rPr>
          <w:i/>
        </w:rPr>
        <w:t xml:space="preserve">See </w:t>
      </w:r>
      <w:r>
        <w:t>Octane Fitness, LLC v. ICON Health &amp; Fitness, Inc., 134 S. Ct. 1749, 1756 (2014).</w:t>
      </w:r>
    </w:p>
  </w:footnote>
  <w:footnote w:id="244">
    <w:p w14:paraId="70A32B5A" w14:textId="77777777" w:rsidR="0012014D" w:rsidRPr="00B356E6" w:rsidRDefault="0012014D" w:rsidP="00773EF7">
      <w:pPr>
        <w:pStyle w:val="FootnoteText"/>
      </w:pPr>
      <w:r>
        <w:rPr>
          <w:rStyle w:val="FootnoteReference"/>
        </w:rPr>
        <w:footnoteRef/>
      </w:r>
      <w:r>
        <w:t xml:space="preserve"> </w:t>
      </w:r>
      <w:proofErr w:type="spellStart"/>
      <w:proofErr w:type="gramStart"/>
      <w:r>
        <w:rPr>
          <w:i/>
        </w:rPr>
        <w:t>ePlus</w:t>
      </w:r>
      <w:proofErr w:type="spellEnd"/>
      <w:proofErr w:type="gramEnd"/>
      <w:r>
        <w:t xml:space="preserve">, 789 F.3d at 1370-71 (O’Malley, J., dissenting); </w:t>
      </w:r>
      <w:r>
        <w:rPr>
          <w:i/>
        </w:rPr>
        <w:t>accord</w:t>
      </w:r>
      <w:r>
        <w:t xml:space="preserve"> 11A </w:t>
      </w:r>
      <w:r w:rsidRPr="00B356E6">
        <w:rPr>
          <w:smallCaps/>
        </w:rPr>
        <w:t>Wright et al.</w:t>
      </w:r>
      <w:r>
        <w:t xml:space="preserve">, </w:t>
      </w:r>
      <w:r>
        <w:rPr>
          <w:i/>
        </w:rPr>
        <w:t>supra</w:t>
      </w:r>
      <w:r>
        <w:t xml:space="preserve"> note </w:t>
      </w:r>
      <w:r>
        <w:fldChar w:fldCharType="begin"/>
      </w:r>
      <w:r>
        <w:instrText xml:space="preserve"> NOTEREF _Ref300404332 \h </w:instrText>
      </w:r>
      <w:r>
        <w:fldChar w:fldCharType="separate"/>
      </w:r>
      <w:r w:rsidR="00EF4990">
        <w:t>240</w:t>
      </w:r>
      <w:r>
        <w:fldChar w:fldCharType="end"/>
      </w:r>
      <w:r>
        <w:t>, § 2961.</w:t>
      </w:r>
    </w:p>
  </w:footnote>
  <w:footnote w:id="245">
    <w:p w14:paraId="1A6B12DD" w14:textId="3DA0C6A8" w:rsidR="0012014D" w:rsidRPr="00E96F6F" w:rsidRDefault="0012014D" w:rsidP="00210422">
      <w:pPr>
        <w:pStyle w:val="FootnoteText"/>
      </w:pPr>
      <w:r>
        <w:rPr>
          <w:rStyle w:val="FootnoteReference"/>
        </w:rPr>
        <w:footnoteRef/>
      </w:r>
      <w:r>
        <w:t xml:space="preserve"> </w:t>
      </w:r>
      <w:r>
        <w:rPr>
          <w:i/>
        </w:rPr>
        <w:t>See infra</w:t>
      </w:r>
      <w:r>
        <w:t xml:space="preserve"> note </w:t>
      </w:r>
      <w:r>
        <w:fldChar w:fldCharType="begin"/>
      </w:r>
      <w:r>
        <w:instrText xml:space="preserve"> NOTEREF _Ref300404373 \h </w:instrText>
      </w:r>
      <w:r>
        <w:fldChar w:fldCharType="separate"/>
      </w:r>
      <w:r w:rsidR="00EF4990">
        <w:t>278</w:t>
      </w:r>
      <w:r>
        <w:fldChar w:fldCharType="end"/>
      </w:r>
      <w:r>
        <w:t xml:space="preserve"> and accompanying text.  That said, some litigants have recently argued that a final PTAB decision of invalidity that has not yet been reviewed by the Federal Circuit (meaning that the PTO has not yet issued a cancelation certificate) should still be entitled to issue preclusive effect on the question of validity.  </w:t>
      </w:r>
      <w:r>
        <w:rPr>
          <w:i/>
        </w:rPr>
        <w:t>See, e.g.</w:t>
      </w:r>
      <w:r>
        <w:t xml:space="preserve">, Defendants-Appellants’ Petition for Rehearing En Banc, Apple Inc. v. Samsung </w:t>
      </w:r>
      <w:proofErr w:type="spellStart"/>
      <w:r>
        <w:t>Elecs</w:t>
      </w:r>
      <w:proofErr w:type="spellEnd"/>
      <w:r>
        <w:t xml:space="preserve">. Am., Inc., No. 2015-2088 (Fed. Cir. Oct. 19, 2015).  But because the PTAB applies a lower standard of proof than the courts on the question of validity, it would seem that issue preclusion is not appropriate in that circumstance. </w:t>
      </w:r>
      <w:r w:rsidRPr="00210422">
        <w:rPr>
          <w:i/>
        </w:rPr>
        <w:t xml:space="preserve"> </w:t>
      </w:r>
      <w:r>
        <w:rPr>
          <w:i/>
        </w:rPr>
        <w:t>See infra</w:t>
      </w:r>
      <w:r>
        <w:t xml:space="preserve"> Part III.B.2.</w:t>
      </w:r>
    </w:p>
  </w:footnote>
  <w:footnote w:id="246">
    <w:p w14:paraId="2D6C8D05" w14:textId="77777777" w:rsidR="0012014D" w:rsidRDefault="0012014D" w:rsidP="007B6C38">
      <w:pPr>
        <w:pStyle w:val="FootnoteText"/>
      </w:pPr>
      <w:r>
        <w:rPr>
          <w:rStyle w:val="FootnoteReference"/>
        </w:rPr>
        <w:footnoteRef/>
      </w:r>
      <w:r>
        <w:t xml:space="preserve"> Apple Inc. v. Samsung </w:t>
      </w:r>
      <w:proofErr w:type="spellStart"/>
      <w:r>
        <w:t>Elecs</w:t>
      </w:r>
      <w:proofErr w:type="spellEnd"/>
      <w:r>
        <w:t>. Co., 786 F.3d 983, 989 (Fed. Cir. 2015).</w:t>
      </w:r>
    </w:p>
  </w:footnote>
  <w:footnote w:id="247">
    <w:p w14:paraId="386AC552" w14:textId="77777777" w:rsidR="0012014D" w:rsidRPr="00692D0F" w:rsidRDefault="0012014D" w:rsidP="007B6C38">
      <w:pPr>
        <w:pStyle w:val="FootnoteText"/>
        <w:rPr>
          <w:i/>
        </w:rPr>
      </w:pPr>
      <w:r>
        <w:rPr>
          <w:rStyle w:val="FootnoteReference"/>
        </w:rPr>
        <w:footnoteRef/>
      </w:r>
      <w:r>
        <w:t xml:space="preserve"> </w:t>
      </w:r>
      <w:r>
        <w:rPr>
          <w:i/>
        </w:rPr>
        <w:t>Id.</w:t>
      </w:r>
    </w:p>
  </w:footnote>
  <w:footnote w:id="248">
    <w:p w14:paraId="73209FB8" w14:textId="77777777" w:rsidR="0012014D" w:rsidRPr="00197437" w:rsidRDefault="0012014D" w:rsidP="007B6C38">
      <w:pPr>
        <w:pStyle w:val="FootnoteText"/>
      </w:pPr>
      <w:r>
        <w:rPr>
          <w:rStyle w:val="FootnoteReference"/>
        </w:rPr>
        <w:footnoteRef/>
      </w:r>
      <w:r>
        <w:t xml:space="preserve"> </w:t>
      </w:r>
      <w:r>
        <w:rPr>
          <w:i/>
        </w:rPr>
        <w:t>Id.</w:t>
      </w:r>
      <w:r>
        <w:t xml:space="preserve"> at 990; </w:t>
      </w:r>
      <w:r>
        <w:rPr>
          <w:i/>
        </w:rPr>
        <w:t xml:space="preserve">see </w:t>
      </w:r>
      <w:r>
        <w:t xml:space="preserve">Vin </w:t>
      </w:r>
      <w:proofErr w:type="spellStart"/>
      <w:r>
        <w:t>Gurrieri</w:t>
      </w:r>
      <w:proofErr w:type="spellEnd"/>
      <w:r>
        <w:t xml:space="preserve">, </w:t>
      </w:r>
      <w:r w:rsidRPr="00692D0F">
        <w:rPr>
          <w:i/>
        </w:rPr>
        <w:t>Fed. Circ. Nixes Samsung’s Bid for Stay of $548M Award</w:t>
      </w:r>
      <w:r>
        <w:t xml:space="preserve">, </w:t>
      </w:r>
      <w:r w:rsidRPr="00692D0F">
        <w:rPr>
          <w:smallCaps/>
        </w:rPr>
        <w:t>Law360</w:t>
      </w:r>
      <w:r>
        <w:t xml:space="preserve"> (Aug. 25, 2015), </w:t>
      </w:r>
      <w:r w:rsidRPr="00FC2775">
        <w:t>http</w:t>
      </w:r>
      <w:r>
        <w:t>://www.law360.com</w:t>
      </w:r>
      <w:r w:rsidRPr="00FC2775">
        <w:t>/articles/695129</w:t>
      </w:r>
      <w:r>
        <w:t>.</w:t>
      </w:r>
    </w:p>
  </w:footnote>
  <w:footnote w:id="249">
    <w:p w14:paraId="459C5A3E" w14:textId="77777777" w:rsidR="0012014D" w:rsidRPr="00197437" w:rsidRDefault="0012014D" w:rsidP="007B6C38">
      <w:pPr>
        <w:pStyle w:val="FootnoteText"/>
      </w:pPr>
      <w:r>
        <w:rPr>
          <w:rStyle w:val="FootnoteReference"/>
        </w:rPr>
        <w:footnoteRef/>
      </w:r>
      <w:r>
        <w:t xml:space="preserve"> </w:t>
      </w:r>
      <w:r>
        <w:rPr>
          <w:i/>
        </w:rPr>
        <w:t>Apple</w:t>
      </w:r>
      <w:r>
        <w:t>, 786 F.3d at 989.</w:t>
      </w:r>
    </w:p>
  </w:footnote>
  <w:footnote w:id="250">
    <w:p w14:paraId="7779020A" w14:textId="53A36819" w:rsidR="0012014D" w:rsidRPr="00C52D71" w:rsidRDefault="0012014D" w:rsidP="00351E47">
      <w:pPr>
        <w:pStyle w:val="FootnoteText"/>
      </w:pPr>
      <w:r>
        <w:rPr>
          <w:rStyle w:val="FootnoteReference"/>
        </w:rPr>
        <w:footnoteRef/>
      </w:r>
      <w:r>
        <w:t xml:space="preserve"> </w:t>
      </w:r>
      <w:r>
        <w:rPr>
          <w:i/>
        </w:rPr>
        <w:t xml:space="preserve">See </w:t>
      </w:r>
      <w:r w:rsidRPr="00351E47">
        <w:rPr>
          <w:i/>
        </w:rPr>
        <w:t>Ex Parte</w:t>
      </w:r>
      <w:r>
        <w:t xml:space="preserve"> Apple, Inc., Appeal No. 2014-7899, 2015 WL 5676869 (P.T.A.B. Sept. 24, 2015) (denying rehearing and recounting procedural history).</w:t>
      </w:r>
      <w:r>
        <w:rPr>
          <w:i/>
        </w:rPr>
        <w:t xml:space="preserve"> </w:t>
      </w:r>
    </w:p>
  </w:footnote>
  <w:footnote w:id="251">
    <w:p w14:paraId="18663E56" w14:textId="77777777" w:rsidR="0012014D" w:rsidRDefault="0012014D" w:rsidP="007B6C38">
      <w:pPr>
        <w:pStyle w:val="FootnoteText"/>
      </w:pPr>
      <w:r>
        <w:rPr>
          <w:rStyle w:val="FootnoteReference"/>
        </w:rPr>
        <w:footnoteRef/>
      </w:r>
      <w:r>
        <w:t xml:space="preserve"> Partial Final Judgment, Apple Inc. v. Samsung </w:t>
      </w:r>
      <w:proofErr w:type="spellStart"/>
      <w:r>
        <w:t>Elecs</w:t>
      </w:r>
      <w:proofErr w:type="spellEnd"/>
      <w:r>
        <w:t>. Co., No. 11-cv-1846 (N.D. Cal. Sept. 18, 2015).</w:t>
      </w:r>
    </w:p>
  </w:footnote>
  <w:footnote w:id="252">
    <w:p w14:paraId="7062F4A0" w14:textId="77777777" w:rsidR="0012014D" w:rsidRDefault="0012014D" w:rsidP="00212E9F">
      <w:pPr>
        <w:pStyle w:val="FootnoteText"/>
      </w:pPr>
      <w:r>
        <w:rPr>
          <w:rStyle w:val="FootnoteReference"/>
        </w:rPr>
        <w:footnoteRef/>
      </w:r>
      <w:r>
        <w:t xml:space="preserve"> Apple Inc. v. Samsung </w:t>
      </w:r>
      <w:proofErr w:type="spellStart"/>
      <w:r>
        <w:t>Elecs</w:t>
      </w:r>
      <w:proofErr w:type="spellEnd"/>
      <w:r>
        <w:t>. Am., Inc., No. 2015-2088, slip op. at 2 (Fed. Cir. Oct. 13, 2015).</w:t>
      </w:r>
    </w:p>
  </w:footnote>
  <w:footnote w:id="253">
    <w:p w14:paraId="5352CDD6" w14:textId="4CCDA615" w:rsidR="0012014D" w:rsidRDefault="0012014D">
      <w:pPr>
        <w:pStyle w:val="FootnoteText"/>
      </w:pPr>
      <w:r>
        <w:rPr>
          <w:rStyle w:val="FootnoteReference"/>
        </w:rPr>
        <w:footnoteRef/>
      </w:r>
      <w:r>
        <w:t xml:space="preserve"> Fresenius USA, Inc. v. Baxter Int’l, Inc., 721 F.3d 1330, 1341 (Fed. Cir. 2013) (stating that, to be immune from the effects of PTO review, “</w:t>
      </w:r>
      <w:r w:rsidRPr="00AA2B5A">
        <w:t>the litigation must be entirely concluded so that [the] cause of action [against the infringer] was merged into a final judgment</w:t>
      </w:r>
      <w:r>
        <w:t xml:space="preserve"> . . . one that </w:t>
      </w:r>
      <w:r w:rsidRPr="00AA2B5A">
        <w:t>ends the litigation on the merits and leaves nothing for the court to do but execute the judgment.</w:t>
      </w:r>
      <w:r>
        <w:t>” (alterations in original, internal quotation marks omitted)).</w:t>
      </w:r>
    </w:p>
  </w:footnote>
  <w:footnote w:id="254">
    <w:p w14:paraId="0AE83DA7" w14:textId="04827A4E" w:rsidR="0012014D" w:rsidRDefault="0012014D">
      <w:pPr>
        <w:pStyle w:val="FootnoteText"/>
      </w:pPr>
      <w:r>
        <w:rPr>
          <w:rStyle w:val="FootnoteReference"/>
        </w:rPr>
        <w:footnoteRef/>
      </w:r>
      <w:r>
        <w:t xml:space="preserve"> 10 </w:t>
      </w:r>
      <w:r w:rsidRPr="0012014D">
        <w:rPr>
          <w:smallCaps/>
        </w:rPr>
        <w:t>Wright et al.</w:t>
      </w:r>
      <w:r>
        <w:t xml:space="preserve">, </w:t>
      </w:r>
      <w:r w:rsidRPr="0012014D">
        <w:rPr>
          <w:i/>
        </w:rPr>
        <w:t>supra</w:t>
      </w:r>
      <w:r>
        <w:t xml:space="preserve"> note </w:t>
      </w:r>
      <w:r>
        <w:fldChar w:fldCharType="begin"/>
      </w:r>
      <w:r>
        <w:instrText xml:space="preserve"> NOTEREF _Ref300404332 \h </w:instrText>
      </w:r>
      <w:r>
        <w:fldChar w:fldCharType="separate"/>
      </w:r>
      <w:r w:rsidR="00EF4990">
        <w:t>240</w:t>
      </w:r>
      <w:r>
        <w:fldChar w:fldCharType="end"/>
      </w:r>
      <w:r>
        <w:t>, § 2654.</w:t>
      </w:r>
    </w:p>
  </w:footnote>
  <w:footnote w:id="255">
    <w:p w14:paraId="2A7CB6C0" w14:textId="746CE09B" w:rsidR="0012014D" w:rsidRPr="00F92079" w:rsidRDefault="0012014D">
      <w:pPr>
        <w:pStyle w:val="FootnoteText"/>
      </w:pPr>
      <w:r>
        <w:rPr>
          <w:rStyle w:val="FootnoteReference"/>
        </w:rPr>
        <w:footnoteRef/>
      </w:r>
      <w:r>
        <w:t xml:space="preserve"> </w:t>
      </w:r>
      <w:r>
        <w:rPr>
          <w:i/>
        </w:rPr>
        <w:t>See infra</w:t>
      </w:r>
      <w:r>
        <w:t xml:space="preserve"> notes </w:t>
      </w:r>
      <w:r>
        <w:fldChar w:fldCharType="begin"/>
      </w:r>
      <w:r>
        <w:instrText xml:space="preserve"> NOTEREF _Ref433644462 \h </w:instrText>
      </w:r>
      <w:r>
        <w:fldChar w:fldCharType="separate"/>
      </w:r>
      <w:r w:rsidR="00EF4990">
        <w:t>284</w:t>
      </w:r>
      <w:r>
        <w:fldChar w:fldCharType="end"/>
      </w:r>
      <w:r>
        <w:t>-</w:t>
      </w:r>
      <w:r>
        <w:fldChar w:fldCharType="begin"/>
      </w:r>
      <w:r>
        <w:instrText xml:space="preserve"> NOTEREF _Ref433644468 \h </w:instrText>
      </w:r>
      <w:r>
        <w:fldChar w:fldCharType="separate"/>
      </w:r>
      <w:r w:rsidR="00EF4990">
        <w:t>297</w:t>
      </w:r>
      <w:r>
        <w:fldChar w:fldCharType="end"/>
      </w:r>
      <w:r>
        <w:t xml:space="preserve"> and accompanying text (discussing Simmons Co. v. Grier Bros., 258 U.S. 82 (1922), in which the Supreme Court, after finding in a patent holder’s favor on the issue of validity, vacated a court decision of invalidity in another pending case, even though the only issue remaining in that case related to a separate claim of unfair competition).</w:t>
      </w:r>
    </w:p>
  </w:footnote>
  <w:footnote w:id="256">
    <w:p w14:paraId="1709DDEC" w14:textId="25C46301" w:rsidR="0012014D" w:rsidRDefault="0012014D" w:rsidP="00AA2B5A">
      <w:pPr>
        <w:pStyle w:val="FootnoteText"/>
      </w:pPr>
      <w:r>
        <w:rPr>
          <w:rStyle w:val="FootnoteReference"/>
        </w:rPr>
        <w:footnoteRef/>
      </w:r>
      <w:r>
        <w:t xml:space="preserve"> </w:t>
      </w:r>
      <w:r w:rsidRPr="00AA2B5A">
        <w:rPr>
          <w:i/>
        </w:rPr>
        <w:t>Fresenius</w:t>
      </w:r>
      <w:r>
        <w:t>, 721 F.3d at 1340 (emphasis added).</w:t>
      </w:r>
    </w:p>
  </w:footnote>
  <w:footnote w:id="257">
    <w:p w14:paraId="6AD330E8" w14:textId="373FC2D2" w:rsidR="0012014D" w:rsidRPr="00182E67" w:rsidRDefault="0012014D" w:rsidP="00182E67">
      <w:pPr>
        <w:pStyle w:val="FootnoteText"/>
      </w:pPr>
      <w:r>
        <w:rPr>
          <w:rStyle w:val="FootnoteReference"/>
        </w:rPr>
        <w:footnoteRef/>
      </w:r>
      <w:r>
        <w:t xml:space="preserve"> </w:t>
      </w:r>
      <w:r>
        <w:rPr>
          <w:i/>
        </w:rPr>
        <w:t>See</w:t>
      </w:r>
      <w:r>
        <w:t xml:space="preserve"> Fresenius, 721 F.3d at 1349 (Newman, J., dissenting).</w:t>
      </w:r>
    </w:p>
  </w:footnote>
  <w:footnote w:id="258">
    <w:p w14:paraId="144D8A28" w14:textId="54716EA7" w:rsidR="0012014D" w:rsidRDefault="0012014D">
      <w:pPr>
        <w:pStyle w:val="FootnoteText"/>
      </w:pPr>
      <w:r>
        <w:rPr>
          <w:rStyle w:val="FootnoteReference"/>
        </w:rPr>
        <w:footnoteRef/>
      </w:r>
      <w:r>
        <w:t xml:space="preserve"> Miller v. French, 530 U.S. 327, 341 (2000).</w:t>
      </w:r>
    </w:p>
  </w:footnote>
  <w:footnote w:id="259">
    <w:p w14:paraId="19B1D625" w14:textId="796C526E" w:rsidR="0012014D" w:rsidRDefault="0012014D">
      <w:pPr>
        <w:pStyle w:val="FootnoteText"/>
      </w:pPr>
      <w:r>
        <w:rPr>
          <w:rStyle w:val="FootnoteReference"/>
        </w:rPr>
        <w:footnoteRef/>
      </w:r>
      <w:r>
        <w:t xml:space="preserve"> </w:t>
      </w:r>
      <w:r w:rsidRPr="00903068">
        <w:rPr>
          <w:smallCaps/>
        </w:rPr>
        <w:t xml:space="preserve">U.S. Const. </w:t>
      </w:r>
      <w:r>
        <w:t>art. III, § 1.</w:t>
      </w:r>
    </w:p>
  </w:footnote>
  <w:footnote w:id="260">
    <w:p w14:paraId="438B66E1" w14:textId="77777777" w:rsidR="0012014D" w:rsidRPr="007F6BF0" w:rsidRDefault="0012014D" w:rsidP="00847CFC">
      <w:pPr>
        <w:pStyle w:val="FootnoteText"/>
      </w:pPr>
      <w:r>
        <w:rPr>
          <w:rStyle w:val="FootnoteReference"/>
        </w:rPr>
        <w:footnoteRef/>
      </w:r>
      <w:r>
        <w:t xml:space="preserve"> 514 U.S. 211, 240 (1995).</w:t>
      </w:r>
    </w:p>
  </w:footnote>
  <w:footnote w:id="261">
    <w:p w14:paraId="74712C24" w14:textId="18189730" w:rsidR="0012014D" w:rsidRPr="00352553" w:rsidRDefault="0012014D">
      <w:pPr>
        <w:pStyle w:val="FootnoteText"/>
      </w:pPr>
      <w:r>
        <w:rPr>
          <w:rStyle w:val="FootnoteReference"/>
        </w:rPr>
        <w:footnoteRef/>
      </w:r>
      <w:r>
        <w:t xml:space="preserve"> </w:t>
      </w:r>
      <w:r>
        <w:rPr>
          <w:i/>
        </w:rPr>
        <w:t>Id.</w:t>
      </w:r>
      <w:r>
        <w:t xml:space="preserve"> at 218-19.</w:t>
      </w:r>
    </w:p>
  </w:footnote>
  <w:footnote w:id="262">
    <w:p w14:paraId="38B4E896" w14:textId="65B9EDE8" w:rsidR="0012014D" w:rsidRDefault="0012014D">
      <w:pPr>
        <w:pStyle w:val="FootnoteText"/>
      </w:pPr>
      <w:r>
        <w:rPr>
          <w:rStyle w:val="FootnoteReference"/>
        </w:rPr>
        <w:footnoteRef/>
      </w:r>
      <w:r>
        <w:t xml:space="preserve"> 2 U.S. (2 Dall.) 408, 410 (1792); </w:t>
      </w:r>
      <w:r>
        <w:rPr>
          <w:i/>
        </w:rPr>
        <w:t>see also</w:t>
      </w:r>
      <w:r>
        <w:t xml:space="preserve"> Chi. &amp; S. Air Lines v. Waterman S.S. Corp., 333 U.S. 103, 113-14 (1948) (“It has . . . been the firm and unvarying practice of Constitutional Courts to render no judgments not binding and conclusive on the parties and none that are subject to later review or alteration by administrative action.”).  </w:t>
      </w:r>
    </w:p>
  </w:footnote>
  <w:footnote w:id="263">
    <w:p w14:paraId="76A48205" w14:textId="2DA222EE" w:rsidR="0012014D" w:rsidRDefault="0012014D" w:rsidP="00B14666">
      <w:pPr>
        <w:pStyle w:val="FootnoteText"/>
      </w:pPr>
      <w:r>
        <w:rPr>
          <w:rStyle w:val="FootnoteReference"/>
        </w:rPr>
        <w:footnoteRef/>
      </w:r>
      <w:r>
        <w:t xml:space="preserve"> 530 U.S. at 333-34.</w:t>
      </w:r>
    </w:p>
  </w:footnote>
  <w:footnote w:id="264">
    <w:p w14:paraId="0AFEB929" w14:textId="20E65947" w:rsidR="0012014D" w:rsidRPr="00EF6DD1" w:rsidRDefault="0012014D">
      <w:pPr>
        <w:pStyle w:val="FootnoteText"/>
      </w:pPr>
      <w:r>
        <w:rPr>
          <w:rStyle w:val="FootnoteReference"/>
        </w:rPr>
        <w:footnoteRef/>
      </w:r>
      <w:r>
        <w:t xml:space="preserve"> </w:t>
      </w:r>
      <w:r>
        <w:rPr>
          <w:i/>
        </w:rPr>
        <w:t>Id.</w:t>
      </w:r>
      <w:r>
        <w:t xml:space="preserve"> at 344.</w:t>
      </w:r>
    </w:p>
  </w:footnote>
  <w:footnote w:id="265">
    <w:p w14:paraId="5A74029B" w14:textId="19587DB0" w:rsidR="0012014D" w:rsidRPr="00C0530C" w:rsidRDefault="0012014D">
      <w:pPr>
        <w:pStyle w:val="FootnoteText"/>
        <w:rPr>
          <w:i/>
        </w:rPr>
      </w:pPr>
      <w:r>
        <w:rPr>
          <w:rStyle w:val="FootnoteReference"/>
        </w:rPr>
        <w:footnoteRef/>
      </w:r>
      <w:r>
        <w:t xml:space="preserve"> </w:t>
      </w:r>
      <w:r>
        <w:rPr>
          <w:i/>
        </w:rPr>
        <w:t>Id.</w:t>
      </w:r>
      <w:r w:rsidRPr="00C0530C">
        <w:t xml:space="preserve"> </w:t>
      </w:r>
      <w:r>
        <w:t xml:space="preserve">at 347 (quoting </w:t>
      </w:r>
      <w:proofErr w:type="spellStart"/>
      <w:r>
        <w:rPr>
          <w:i/>
        </w:rPr>
        <w:t>Plaut</w:t>
      </w:r>
      <w:proofErr w:type="spellEnd"/>
      <w:r>
        <w:t>, 514 U.S. at 227).</w:t>
      </w:r>
    </w:p>
  </w:footnote>
  <w:footnote w:id="266">
    <w:p w14:paraId="421AA662" w14:textId="0BFC8B79" w:rsidR="0012014D" w:rsidRPr="00EF6DD1" w:rsidRDefault="0012014D">
      <w:pPr>
        <w:pStyle w:val="FootnoteText"/>
      </w:pPr>
      <w:r>
        <w:rPr>
          <w:rStyle w:val="FootnoteReference"/>
        </w:rPr>
        <w:footnoteRef/>
      </w:r>
      <w:r>
        <w:t xml:space="preserve"> </w:t>
      </w:r>
      <w:r>
        <w:rPr>
          <w:i/>
        </w:rPr>
        <w:t>Id.</w:t>
      </w:r>
      <w:r>
        <w:t xml:space="preserve"> </w:t>
      </w:r>
    </w:p>
  </w:footnote>
  <w:footnote w:id="267">
    <w:p w14:paraId="02EF1306" w14:textId="26B2E70D" w:rsidR="0012014D" w:rsidRDefault="0012014D">
      <w:pPr>
        <w:pStyle w:val="FootnoteText"/>
      </w:pPr>
      <w:r>
        <w:rPr>
          <w:rStyle w:val="FootnoteReference"/>
        </w:rPr>
        <w:footnoteRef/>
      </w:r>
      <w:r>
        <w:t xml:space="preserve"> </w:t>
      </w:r>
      <w:r>
        <w:rPr>
          <w:i/>
        </w:rPr>
        <w:t>See</w:t>
      </w:r>
      <w:r>
        <w:t xml:space="preserve"> Fresenius USA, Inc. v. Baxter Int’l, Inc., 721 F.3d 1330, 1349 (Fed. Cir. 2013) (Newman, J., dissenting) (“[W]</w:t>
      </w:r>
      <w:r w:rsidRPr="0030387B">
        <w:t xml:space="preserve">hen the issue of validity of the claims has already been resolved in litigation, subsequent redetermination by the PTO is directly </w:t>
      </w:r>
      <w:proofErr w:type="spellStart"/>
      <w:r w:rsidRPr="0030387B">
        <w:t>violative</w:t>
      </w:r>
      <w:proofErr w:type="spellEnd"/>
      <w:r w:rsidRPr="0030387B">
        <w:t xml:space="preserve"> of the structure of government</w:t>
      </w:r>
      <w:r>
        <w:t>.”).</w:t>
      </w:r>
    </w:p>
  </w:footnote>
  <w:footnote w:id="268">
    <w:p w14:paraId="732F0D19" w14:textId="74D5A846" w:rsidR="0012014D" w:rsidRPr="00AB4097" w:rsidRDefault="0012014D" w:rsidP="00847CFC">
      <w:pPr>
        <w:pStyle w:val="FootnoteText"/>
      </w:pPr>
      <w:r>
        <w:rPr>
          <w:rStyle w:val="FootnoteReference"/>
        </w:rPr>
        <w:footnoteRef/>
      </w:r>
      <w:r>
        <w:t xml:space="preserve"> </w:t>
      </w:r>
      <w:r>
        <w:rPr>
          <w:i/>
        </w:rPr>
        <w:t>Cf. id.</w:t>
      </w:r>
      <w:r>
        <w:t xml:space="preserve"> </w:t>
      </w:r>
      <w:proofErr w:type="gramStart"/>
      <w:r>
        <w:t>at</w:t>
      </w:r>
      <w:proofErr w:type="gramEnd"/>
      <w:r>
        <w:t xml:space="preserve"> 1346 (majority opinion) (“There is no basis to read </w:t>
      </w:r>
      <w:proofErr w:type="spellStart"/>
      <w:r>
        <w:rPr>
          <w:i/>
        </w:rPr>
        <w:t>Plaut</w:t>
      </w:r>
      <w:proofErr w:type="spellEnd"/>
      <w:r>
        <w:t xml:space="preserve"> to impose restrictions on reopening before there has been a final judgment </w:t>
      </w:r>
      <w:r w:rsidRPr="00690834">
        <w:rPr>
          <w:i/>
        </w:rPr>
        <w:t>ending the case</w:t>
      </w:r>
      <w:r>
        <w:t xml:space="preserve"> . . . .” (emphasis added)).</w:t>
      </w:r>
    </w:p>
  </w:footnote>
  <w:footnote w:id="269">
    <w:p w14:paraId="7AFB8010" w14:textId="04967293" w:rsidR="0012014D" w:rsidRDefault="0012014D" w:rsidP="0030387B">
      <w:pPr>
        <w:pStyle w:val="FootnoteText"/>
      </w:pPr>
      <w:r>
        <w:rPr>
          <w:rStyle w:val="FootnoteReference"/>
        </w:rPr>
        <w:footnoteRef/>
      </w:r>
      <w:r>
        <w:t xml:space="preserve"> </w:t>
      </w:r>
      <w:r>
        <w:rPr>
          <w:i/>
        </w:rPr>
        <w:t>Cf. Miller</w:t>
      </w:r>
      <w:r>
        <w:t>, 530 U.S. at 343 (upholding the automatic stay provision of the PLRA, noting that “[u]</w:t>
      </w:r>
      <w:proofErr w:type="spellStart"/>
      <w:r>
        <w:t>nlike</w:t>
      </w:r>
      <w:proofErr w:type="spellEnd"/>
      <w:r>
        <w:t xml:space="preserve"> the situation in </w:t>
      </w:r>
      <w:proofErr w:type="spellStart"/>
      <w:r>
        <w:rPr>
          <w:i/>
        </w:rPr>
        <w:t>Hayburn’s</w:t>
      </w:r>
      <w:proofErr w:type="spellEnd"/>
      <w:r>
        <w:rPr>
          <w:i/>
        </w:rPr>
        <w:t xml:space="preserve"> Case</w:t>
      </w:r>
      <w:r>
        <w:t>, [the PLRA] does not involve the direct review of a judicial decision by officials of the Legislative or Executive Branches”).</w:t>
      </w:r>
    </w:p>
  </w:footnote>
  <w:footnote w:id="270">
    <w:p w14:paraId="0337DC7D" w14:textId="50AA8F08" w:rsidR="0012014D" w:rsidRPr="004A066B" w:rsidRDefault="0012014D">
      <w:pPr>
        <w:pStyle w:val="FootnoteText"/>
      </w:pPr>
      <w:r>
        <w:rPr>
          <w:rStyle w:val="FootnoteReference"/>
        </w:rPr>
        <w:footnoteRef/>
      </w:r>
      <w:r>
        <w:t xml:space="preserve"> </w:t>
      </w:r>
      <w:r>
        <w:rPr>
          <w:i/>
        </w:rPr>
        <w:t>Id.</w:t>
      </w:r>
      <w:r>
        <w:t xml:space="preserve"> at 347.</w:t>
      </w:r>
    </w:p>
  </w:footnote>
  <w:footnote w:id="271">
    <w:p w14:paraId="7195A5E4" w14:textId="6BFF3BCF" w:rsidR="0012014D" w:rsidRDefault="0012014D" w:rsidP="00957DC7">
      <w:pPr>
        <w:pStyle w:val="FootnoteText"/>
      </w:pPr>
      <w:r>
        <w:rPr>
          <w:rStyle w:val="FootnoteReference"/>
        </w:rPr>
        <w:footnoteRef/>
      </w:r>
      <w:r>
        <w:t xml:space="preserve"> </w:t>
      </w:r>
      <w:r>
        <w:rPr>
          <w:i/>
        </w:rPr>
        <w:t>See Fresenius</w:t>
      </w:r>
      <w:r>
        <w:t>, 721 F.3d at 1343-44</w:t>
      </w:r>
      <w:r>
        <w:rPr>
          <w:i/>
        </w:rPr>
        <w:t xml:space="preserve"> </w:t>
      </w:r>
      <w:r>
        <w:t xml:space="preserve">(citing </w:t>
      </w:r>
      <w:r w:rsidRPr="00A97B9C">
        <w:t>Mendenhall v. Barber-Greene Co., 26 F.3d 1573, 1581 (Fed. Cir. 1994)</w:t>
      </w:r>
      <w:r>
        <w:t>)</w:t>
      </w:r>
      <w:r w:rsidRPr="00A97B9C">
        <w:t xml:space="preserve">.  </w:t>
      </w:r>
    </w:p>
  </w:footnote>
  <w:footnote w:id="272">
    <w:p w14:paraId="5020AABD" w14:textId="443C1707" w:rsidR="0012014D" w:rsidRPr="00F72252" w:rsidRDefault="0012014D" w:rsidP="00957DC7">
      <w:pPr>
        <w:pStyle w:val="FootnoteText"/>
      </w:pPr>
      <w:r>
        <w:rPr>
          <w:rStyle w:val="FootnoteReference"/>
        </w:rPr>
        <w:footnoteRef/>
      </w:r>
      <w:r>
        <w:t xml:space="preserve"> </w:t>
      </w:r>
      <w:r w:rsidRPr="00957DC7">
        <w:rPr>
          <w:i/>
        </w:rPr>
        <w:t>Mendenhall</w:t>
      </w:r>
      <w:r>
        <w:t>, 26 F.3d at 1576.</w:t>
      </w:r>
    </w:p>
  </w:footnote>
  <w:footnote w:id="273">
    <w:p w14:paraId="60A4A6C5" w14:textId="6AD2300A" w:rsidR="0012014D" w:rsidRDefault="0012014D" w:rsidP="00660F3D">
      <w:pPr>
        <w:pStyle w:val="FootnoteText"/>
      </w:pPr>
      <w:r>
        <w:rPr>
          <w:rStyle w:val="FootnoteReference"/>
        </w:rPr>
        <w:footnoteRef/>
      </w:r>
      <w:r>
        <w:t xml:space="preserve"> </w:t>
      </w:r>
      <w:r>
        <w:rPr>
          <w:i/>
        </w:rPr>
        <w:t xml:space="preserve">See </w:t>
      </w:r>
      <w:r>
        <w:t xml:space="preserve">Mendenhall v. </w:t>
      </w:r>
      <w:proofErr w:type="spellStart"/>
      <w:r>
        <w:t>Cedarapids</w:t>
      </w:r>
      <w:proofErr w:type="spellEnd"/>
      <w:r>
        <w:t>, Inc., 5 F.3d 1557, 1571 (Fed. Cir. 1993).</w:t>
      </w:r>
    </w:p>
  </w:footnote>
  <w:footnote w:id="274">
    <w:p w14:paraId="533FE3D1" w14:textId="1E46508F" w:rsidR="0012014D" w:rsidRPr="00660F3D" w:rsidRDefault="0012014D" w:rsidP="00172318">
      <w:pPr>
        <w:pStyle w:val="FootnoteText"/>
      </w:pPr>
      <w:r>
        <w:rPr>
          <w:rStyle w:val="FootnoteReference"/>
        </w:rPr>
        <w:footnoteRef/>
      </w:r>
      <w:r>
        <w:t xml:space="preserve"> </w:t>
      </w:r>
      <w:r>
        <w:rPr>
          <w:i/>
        </w:rPr>
        <w:t>Mendenhall</w:t>
      </w:r>
      <w:r>
        <w:t>, 26 F.3d at 1576.</w:t>
      </w:r>
    </w:p>
  </w:footnote>
  <w:footnote w:id="275">
    <w:p w14:paraId="78AEF295" w14:textId="329FB876" w:rsidR="0012014D" w:rsidRPr="009E209B" w:rsidRDefault="0012014D" w:rsidP="009E209B">
      <w:pPr>
        <w:pStyle w:val="FootnoteText"/>
      </w:pPr>
      <w:r>
        <w:rPr>
          <w:rStyle w:val="FootnoteReference"/>
        </w:rPr>
        <w:footnoteRef/>
      </w:r>
      <w:r>
        <w:t xml:space="preserve"> </w:t>
      </w:r>
      <w:r>
        <w:rPr>
          <w:i/>
        </w:rPr>
        <w:t xml:space="preserve">See generally </w:t>
      </w:r>
      <w:r>
        <w:t>Levi Strauss &amp; Co. v. Abercrombie &amp; Fitch Trading Co., 719 F.3d 1367, 1371 (Fed. Cir. 2013) (“We have stated four preconditions for a second suit to be barred by issue preclusion:  (1) identity of the issues in a prior proceeding; (2) the issues were actually litigated; (3) the determination of the issues was necessary to the resulting judgment; and (4) the party defending against preclusion had a full and fair opportunity to litigate the issues.”).</w:t>
      </w:r>
    </w:p>
  </w:footnote>
  <w:footnote w:id="276">
    <w:p w14:paraId="6A9D3DE1" w14:textId="4144A217" w:rsidR="0012014D" w:rsidRPr="00183788" w:rsidRDefault="0012014D" w:rsidP="004B1694">
      <w:pPr>
        <w:pStyle w:val="FootnoteText"/>
      </w:pPr>
      <w:r>
        <w:rPr>
          <w:rStyle w:val="FootnoteReference"/>
        </w:rPr>
        <w:footnoteRef/>
      </w:r>
      <w:r>
        <w:t xml:space="preserve"> </w:t>
      </w:r>
      <w:r w:rsidRPr="00AE7D3B">
        <w:rPr>
          <w:smallCaps/>
        </w:rPr>
        <w:t>Restatement (Second) of Judgments</w:t>
      </w:r>
      <w:r>
        <w:t xml:space="preserve"> § 28(4) (1982); </w:t>
      </w:r>
      <w:r>
        <w:rPr>
          <w:i/>
        </w:rPr>
        <w:t>accord</w:t>
      </w:r>
      <w:r>
        <w:t xml:space="preserve"> 18 </w:t>
      </w:r>
      <w:r w:rsidRPr="00233616">
        <w:rPr>
          <w:smallCaps/>
        </w:rPr>
        <w:t>Wright et al.</w:t>
      </w:r>
      <w:r>
        <w:t xml:space="preserve">, </w:t>
      </w:r>
      <w:r>
        <w:rPr>
          <w:i/>
        </w:rPr>
        <w:t>supra</w:t>
      </w:r>
      <w:r>
        <w:t xml:space="preserve"> note </w:t>
      </w:r>
      <w:r>
        <w:fldChar w:fldCharType="begin"/>
      </w:r>
      <w:r>
        <w:instrText xml:space="preserve"> NOTEREF _Ref300404332 \h </w:instrText>
      </w:r>
      <w:r>
        <w:fldChar w:fldCharType="separate"/>
      </w:r>
      <w:r w:rsidR="00EF4990">
        <w:t>240</w:t>
      </w:r>
      <w:r>
        <w:fldChar w:fldCharType="end"/>
      </w:r>
      <w:r>
        <w:t>, § 4422 (“[A] p</w:t>
      </w:r>
      <w:r w:rsidRPr="0030050E">
        <w:t>arty who has carried the burden of establishing an issue by a preponderance of the evidence is not entitled to assert preclusion in a later action that requires proof of the same issue by a higher</w:t>
      </w:r>
      <w:r>
        <w:t xml:space="preserve"> standard.”).</w:t>
      </w:r>
    </w:p>
  </w:footnote>
  <w:footnote w:id="277">
    <w:p w14:paraId="2D5BD567" w14:textId="77777777" w:rsidR="0012014D" w:rsidRDefault="0012014D" w:rsidP="004B1694">
      <w:pPr>
        <w:pStyle w:val="FootnoteText"/>
      </w:pPr>
      <w:r>
        <w:rPr>
          <w:rStyle w:val="FootnoteReference"/>
        </w:rPr>
        <w:footnoteRef/>
      </w:r>
      <w:r>
        <w:t xml:space="preserve"> Ethicon, Inc. v. </w:t>
      </w:r>
      <w:proofErr w:type="spellStart"/>
      <w:r>
        <w:t>Quigg</w:t>
      </w:r>
      <w:proofErr w:type="spellEnd"/>
      <w:r>
        <w:t>, 849 F.2d 1422, 1428-29 (Fed. Cir. 1988).</w:t>
      </w:r>
    </w:p>
  </w:footnote>
  <w:footnote w:id="278">
    <w:p w14:paraId="08B1D62C" w14:textId="77777777" w:rsidR="0012014D" w:rsidRPr="003615A1" w:rsidRDefault="0012014D" w:rsidP="004B1694">
      <w:pPr>
        <w:pStyle w:val="FootnoteText"/>
        <w:rPr>
          <w:i/>
        </w:rPr>
      </w:pPr>
      <w:r>
        <w:rPr>
          <w:rStyle w:val="FootnoteReference"/>
        </w:rPr>
        <w:footnoteRef/>
      </w:r>
      <w:r>
        <w:t xml:space="preserve"> </w:t>
      </w:r>
      <w:r>
        <w:rPr>
          <w:i/>
        </w:rPr>
        <w:t>See, e.g.</w:t>
      </w:r>
      <w:r>
        <w:t>, Fresenius USA, Inc. v. Baxter Int’l, Inc., 721 F.3d 1330, 1340 (Fed. Cir. 2013) (“</w:t>
      </w:r>
      <w:r w:rsidRPr="003615A1">
        <w:t>Baxter wisely agrees that in general, when a claim is cancelled, the patentee loses any cause of action based on that claim</w:t>
      </w:r>
      <w:r>
        <w:t xml:space="preserve"> . . . .”).</w:t>
      </w:r>
    </w:p>
  </w:footnote>
  <w:footnote w:id="279">
    <w:p w14:paraId="29720005" w14:textId="77777777" w:rsidR="0012014D" w:rsidRDefault="0012014D" w:rsidP="004B1694">
      <w:pPr>
        <w:pStyle w:val="FootnoteText"/>
      </w:pPr>
      <w:r>
        <w:rPr>
          <w:rStyle w:val="FootnoteReference"/>
        </w:rPr>
        <w:footnoteRef/>
      </w:r>
      <w:r>
        <w:t xml:space="preserve"> </w:t>
      </w:r>
      <w:r>
        <w:rPr>
          <w:i/>
        </w:rPr>
        <w:t xml:space="preserve">See </w:t>
      </w:r>
      <w:r>
        <w:t>35 U.S.C. §§ 307(a), 318(b), 328(b).</w:t>
      </w:r>
    </w:p>
  </w:footnote>
  <w:footnote w:id="280">
    <w:p w14:paraId="6AFD8720" w14:textId="77777777" w:rsidR="0012014D" w:rsidRPr="00270C32" w:rsidRDefault="0012014D" w:rsidP="004B1694">
      <w:pPr>
        <w:pStyle w:val="FootnoteText"/>
      </w:pPr>
      <w:r>
        <w:rPr>
          <w:rStyle w:val="FootnoteReference"/>
        </w:rPr>
        <w:footnoteRef/>
      </w:r>
      <w:r>
        <w:t xml:space="preserve"> </w:t>
      </w:r>
      <w:r>
        <w:rPr>
          <w:i/>
        </w:rPr>
        <w:t>Fresenius</w:t>
      </w:r>
      <w:r>
        <w:t>, 721 F.3d at 1338, 1344.</w:t>
      </w:r>
    </w:p>
  </w:footnote>
  <w:footnote w:id="281">
    <w:p w14:paraId="092CD995" w14:textId="77777777" w:rsidR="0012014D" w:rsidRDefault="0012014D" w:rsidP="002263B2">
      <w:pPr>
        <w:pStyle w:val="FootnoteText"/>
      </w:pPr>
      <w:r>
        <w:rPr>
          <w:rStyle w:val="FootnoteReference"/>
        </w:rPr>
        <w:footnoteRef/>
      </w:r>
      <w:r>
        <w:t xml:space="preserve"> 66 U.S. 273, 282-83 (1861).</w:t>
      </w:r>
    </w:p>
  </w:footnote>
  <w:footnote w:id="282">
    <w:p w14:paraId="67C98791" w14:textId="0AC856C8" w:rsidR="0012014D" w:rsidRPr="00655B3F" w:rsidRDefault="0012014D">
      <w:pPr>
        <w:pStyle w:val="FootnoteText"/>
      </w:pPr>
      <w:r>
        <w:rPr>
          <w:rStyle w:val="FootnoteReference"/>
        </w:rPr>
        <w:footnoteRef/>
      </w:r>
      <w:r>
        <w:t xml:space="preserve"> </w:t>
      </w:r>
      <w:r>
        <w:rPr>
          <w:i/>
        </w:rPr>
        <w:t>Id.</w:t>
      </w:r>
      <w:r w:rsidR="00E42459">
        <w:t xml:space="preserve"> at 283.</w:t>
      </w:r>
    </w:p>
  </w:footnote>
  <w:footnote w:id="283">
    <w:p w14:paraId="4FA214CD" w14:textId="3A2E86BD" w:rsidR="0012014D" w:rsidRPr="00655B3F" w:rsidRDefault="0012014D">
      <w:pPr>
        <w:pStyle w:val="FootnoteText"/>
      </w:pPr>
      <w:r>
        <w:rPr>
          <w:rStyle w:val="FootnoteReference"/>
        </w:rPr>
        <w:footnoteRef/>
      </w:r>
      <w:r>
        <w:t xml:space="preserve"> </w:t>
      </w:r>
      <w:r>
        <w:rPr>
          <w:i/>
        </w:rPr>
        <w:t>See id.</w:t>
      </w:r>
      <w:r>
        <w:t xml:space="preserve"> </w:t>
      </w:r>
      <w:proofErr w:type="gramStart"/>
      <w:r>
        <w:t>at</w:t>
      </w:r>
      <w:proofErr w:type="gramEnd"/>
      <w:r>
        <w:t xml:space="preserve"> 273-74.</w:t>
      </w:r>
    </w:p>
  </w:footnote>
  <w:footnote w:id="284">
    <w:p w14:paraId="71AE74A8" w14:textId="21A7BDEE" w:rsidR="00E42459" w:rsidRPr="00E42459" w:rsidRDefault="00E42459">
      <w:pPr>
        <w:pStyle w:val="FootnoteText"/>
      </w:pPr>
      <w:r>
        <w:rPr>
          <w:rStyle w:val="FootnoteReference"/>
        </w:rPr>
        <w:footnoteRef/>
      </w:r>
      <w:r>
        <w:t xml:space="preserve"> </w:t>
      </w:r>
      <w:r>
        <w:rPr>
          <w:i/>
        </w:rPr>
        <w:t>Id.</w:t>
      </w:r>
    </w:p>
  </w:footnote>
  <w:footnote w:id="285">
    <w:p w14:paraId="7985687F" w14:textId="77777777" w:rsidR="0012014D" w:rsidRPr="004721D0" w:rsidRDefault="0012014D" w:rsidP="00A13A28">
      <w:pPr>
        <w:pStyle w:val="FootnoteText"/>
      </w:pPr>
      <w:r>
        <w:rPr>
          <w:rStyle w:val="FootnoteReference"/>
        </w:rPr>
        <w:footnoteRef/>
      </w:r>
      <w:r>
        <w:t xml:space="preserve"> </w:t>
      </w:r>
      <w:r>
        <w:rPr>
          <w:i/>
        </w:rPr>
        <w:t>See Fresenius</w:t>
      </w:r>
      <w:r>
        <w:t>, 721 F.3d at 1342 (citing Simmons Co. v. Grier Bros., 258 U.S. 82 (1922)).</w:t>
      </w:r>
    </w:p>
  </w:footnote>
  <w:footnote w:id="286">
    <w:p w14:paraId="02C8FB43" w14:textId="77777777" w:rsidR="0012014D" w:rsidRPr="004721D0" w:rsidRDefault="0012014D" w:rsidP="00172318">
      <w:pPr>
        <w:pStyle w:val="FootnoteText"/>
      </w:pPr>
      <w:r>
        <w:rPr>
          <w:rStyle w:val="FootnoteReference"/>
        </w:rPr>
        <w:footnoteRef/>
      </w:r>
      <w:r>
        <w:t xml:space="preserve"> </w:t>
      </w:r>
      <w:r>
        <w:rPr>
          <w:i/>
        </w:rPr>
        <w:t>Simmons</w:t>
      </w:r>
      <w:r>
        <w:t>, 258 U.S. at 84.</w:t>
      </w:r>
    </w:p>
  </w:footnote>
  <w:footnote w:id="287">
    <w:p w14:paraId="735BE505" w14:textId="77777777" w:rsidR="0012014D" w:rsidRPr="00CA48ED" w:rsidRDefault="0012014D" w:rsidP="00172318">
      <w:pPr>
        <w:pStyle w:val="FootnoteText"/>
      </w:pPr>
      <w:r>
        <w:rPr>
          <w:rStyle w:val="FootnoteReference"/>
        </w:rPr>
        <w:footnoteRef/>
      </w:r>
      <w:r>
        <w:t xml:space="preserve"> </w:t>
      </w:r>
      <w:r>
        <w:rPr>
          <w:i/>
        </w:rPr>
        <w:t>Id.</w:t>
      </w:r>
      <w:r>
        <w:t xml:space="preserve"> at 85.  </w:t>
      </w:r>
    </w:p>
  </w:footnote>
  <w:footnote w:id="288">
    <w:p w14:paraId="276DED0D" w14:textId="77777777" w:rsidR="0012014D" w:rsidRPr="004721D0" w:rsidRDefault="0012014D" w:rsidP="00172318">
      <w:pPr>
        <w:pStyle w:val="FootnoteText"/>
        <w:rPr>
          <w:i/>
        </w:rPr>
      </w:pPr>
      <w:r>
        <w:rPr>
          <w:rStyle w:val="FootnoteReference"/>
        </w:rPr>
        <w:footnoteRef/>
      </w:r>
      <w:r>
        <w:t xml:space="preserve"> </w:t>
      </w:r>
      <w:r>
        <w:rPr>
          <w:i/>
        </w:rPr>
        <w:t>Id.</w:t>
      </w:r>
      <w:r>
        <w:t xml:space="preserve"> at 84.</w:t>
      </w:r>
    </w:p>
  </w:footnote>
  <w:footnote w:id="289">
    <w:p w14:paraId="3F2BDC6C" w14:textId="77777777" w:rsidR="0012014D" w:rsidRPr="004721D0" w:rsidRDefault="0012014D" w:rsidP="00172318">
      <w:pPr>
        <w:pStyle w:val="FootnoteText"/>
      </w:pPr>
      <w:r>
        <w:rPr>
          <w:rStyle w:val="FootnoteReference"/>
        </w:rPr>
        <w:footnoteRef/>
      </w:r>
      <w:r>
        <w:t xml:space="preserve"> </w:t>
      </w:r>
      <w:r>
        <w:rPr>
          <w:i/>
        </w:rPr>
        <w:t>Id.</w:t>
      </w:r>
      <w:r>
        <w:t xml:space="preserve"> at 86-87.</w:t>
      </w:r>
    </w:p>
  </w:footnote>
  <w:footnote w:id="290">
    <w:p w14:paraId="4F30D9AE" w14:textId="77777777" w:rsidR="0012014D" w:rsidRPr="00AB7AF4" w:rsidRDefault="0012014D" w:rsidP="004B1694">
      <w:pPr>
        <w:pStyle w:val="FootnoteText"/>
      </w:pPr>
      <w:r>
        <w:rPr>
          <w:rStyle w:val="FootnoteReference"/>
        </w:rPr>
        <w:footnoteRef/>
      </w:r>
      <w:r>
        <w:t xml:space="preserve"> </w:t>
      </w:r>
      <w:r>
        <w:rPr>
          <w:i/>
        </w:rPr>
        <w:t>Id.</w:t>
      </w:r>
      <w:r>
        <w:t xml:space="preserve"> at 89.</w:t>
      </w:r>
    </w:p>
  </w:footnote>
  <w:footnote w:id="291">
    <w:p w14:paraId="3B1C6797" w14:textId="0EEB273B" w:rsidR="0012014D" w:rsidRDefault="0012014D" w:rsidP="00A56C1D">
      <w:pPr>
        <w:pStyle w:val="FootnoteText"/>
      </w:pPr>
      <w:r>
        <w:rPr>
          <w:rStyle w:val="FootnoteReference"/>
        </w:rPr>
        <w:footnoteRef/>
      </w:r>
      <w:r>
        <w:t xml:space="preserve"> </w:t>
      </w:r>
      <w:r>
        <w:rPr>
          <w:i/>
        </w:rPr>
        <w:t xml:space="preserve">See </w:t>
      </w:r>
      <w:r>
        <w:t>Fresenius USA, Inc. v. Baxter Int’l, Inc., 733 F.3d 1369, 1372 (Fed. Cir. 2013) (</w:t>
      </w:r>
      <w:proofErr w:type="spellStart"/>
      <w:r>
        <w:t>Dyk</w:t>
      </w:r>
      <w:proofErr w:type="spellEnd"/>
      <w:r>
        <w:t xml:space="preserve">, J., concurring in denial of rehearing en banc) (“If we were to hold that our judgment in </w:t>
      </w:r>
      <w:proofErr w:type="gramStart"/>
      <w:r w:rsidRPr="00A56C1D">
        <w:rPr>
          <w:i/>
        </w:rPr>
        <w:t>Fresenius</w:t>
      </w:r>
      <w:r>
        <w:t> .</w:t>
      </w:r>
      <w:proofErr w:type="gramEnd"/>
      <w:r>
        <w:t xml:space="preserve"> . . is immune to a subsequent adjudication of invalidity, we would contravene controlling Supreme Court authority in </w:t>
      </w:r>
      <w:r w:rsidRPr="00A56C1D">
        <w:rPr>
          <w:i/>
        </w:rPr>
        <w:t>Simmons</w:t>
      </w:r>
      <w:r>
        <w:t xml:space="preserve"> . . . .”).</w:t>
      </w:r>
    </w:p>
  </w:footnote>
  <w:footnote w:id="292">
    <w:p w14:paraId="7E3D2C52" w14:textId="3268D644" w:rsidR="0012014D" w:rsidRDefault="0012014D">
      <w:pPr>
        <w:pStyle w:val="FootnoteText"/>
      </w:pPr>
      <w:r>
        <w:rPr>
          <w:rStyle w:val="FootnoteReference"/>
        </w:rPr>
        <w:footnoteRef/>
      </w:r>
      <w:r>
        <w:t xml:space="preserve"> </w:t>
      </w:r>
      <w:r>
        <w:rPr>
          <w:i/>
        </w:rPr>
        <w:t xml:space="preserve">See </w:t>
      </w:r>
      <w:r w:rsidRPr="00DF717E">
        <w:rPr>
          <w:smallCaps/>
        </w:rPr>
        <w:t>Fed. R. Civ. P.</w:t>
      </w:r>
      <w:r>
        <w:t xml:space="preserve"> 54(b) (“</w:t>
      </w:r>
      <w:r w:rsidRPr="00DF717E">
        <w:t>When an action presents more than one claim for relief</w:t>
      </w:r>
      <w:r>
        <w:t xml:space="preserve"> . . . </w:t>
      </w:r>
      <w:r w:rsidRPr="00DF717E">
        <w:t>or when multiple parties are involved, the court may direct entry of a final judgment as to one or more, but fewer than all, claims or parties only if the court expressly determines that there is no just reason for delay.</w:t>
      </w:r>
      <w:r>
        <w:t>”).</w:t>
      </w:r>
    </w:p>
  </w:footnote>
  <w:footnote w:id="293">
    <w:p w14:paraId="1F385D93" w14:textId="5771FF19" w:rsidR="0012014D" w:rsidRDefault="0012014D">
      <w:pPr>
        <w:pStyle w:val="FootnoteText"/>
      </w:pPr>
      <w:r>
        <w:rPr>
          <w:rStyle w:val="FootnoteReference"/>
        </w:rPr>
        <w:footnoteRef/>
      </w:r>
      <w:r>
        <w:t xml:space="preserve"> 28 U.S.C. § 1292(c</w:t>
      </w:r>
      <w:proofErr w:type="gramStart"/>
      <w:r>
        <w:t>)(</w:t>
      </w:r>
      <w:proofErr w:type="gramEnd"/>
      <w:r>
        <w:t>2).</w:t>
      </w:r>
    </w:p>
  </w:footnote>
  <w:footnote w:id="294">
    <w:p w14:paraId="790D2418" w14:textId="484968AD" w:rsidR="0012014D" w:rsidRDefault="0012014D" w:rsidP="00DF717E">
      <w:pPr>
        <w:pStyle w:val="FootnoteText"/>
      </w:pPr>
      <w:r>
        <w:rPr>
          <w:rStyle w:val="FootnoteReference"/>
        </w:rPr>
        <w:footnoteRef/>
      </w:r>
      <w:r>
        <w:t xml:space="preserve"> </w:t>
      </w:r>
      <w:r>
        <w:rPr>
          <w:i/>
        </w:rPr>
        <w:t>See, e.g.</w:t>
      </w:r>
      <w:r>
        <w:t>,</w:t>
      </w:r>
      <w:r>
        <w:rPr>
          <w:i/>
        </w:rPr>
        <w:t xml:space="preserve"> </w:t>
      </w:r>
      <w:r>
        <w:t>Robert Bosch, LLC v. Pylon Mfg. Corp., 719 F.3d 1305, 1308 (Fed. Cir. 2013) (en banc).</w:t>
      </w:r>
    </w:p>
  </w:footnote>
  <w:footnote w:id="295">
    <w:p w14:paraId="0FF8D1D9" w14:textId="39D1ADAC" w:rsidR="0012014D" w:rsidRPr="00F83390" w:rsidRDefault="0012014D">
      <w:pPr>
        <w:pStyle w:val="FootnoteText"/>
      </w:pPr>
      <w:r>
        <w:rPr>
          <w:rStyle w:val="FootnoteReference"/>
        </w:rPr>
        <w:footnoteRef/>
      </w:r>
      <w:r>
        <w:t xml:space="preserve"> </w:t>
      </w:r>
      <w:r>
        <w:rPr>
          <w:i/>
        </w:rPr>
        <w:t>See</w:t>
      </w:r>
      <w:r>
        <w:t xml:space="preserve"> 18A </w:t>
      </w:r>
      <w:r w:rsidRPr="00F83390">
        <w:rPr>
          <w:smallCaps/>
        </w:rPr>
        <w:t>Wright et al.</w:t>
      </w:r>
      <w:r>
        <w:t xml:space="preserve">, </w:t>
      </w:r>
      <w:r>
        <w:rPr>
          <w:i/>
        </w:rPr>
        <w:t>supra</w:t>
      </w:r>
      <w:r>
        <w:t xml:space="preserve"> note </w:t>
      </w:r>
      <w:r>
        <w:fldChar w:fldCharType="begin"/>
      </w:r>
      <w:r>
        <w:instrText xml:space="preserve"> NOTEREF _Ref300404332 \h </w:instrText>
      </w:r>
      <w:r>
        <w:fldChar w:fldCharType="separate"/>
      </w:r>
      <w:r w:rsidR="00EF4990">
        <w:t>240</w:t>
      </w:r>
      <w:r>
        <w:fldChar w:fldCharType="end"/>
      </w:r>
      <w:r>
        <w:t>, § 4432.</w:t>
      </w:r>
    </w:p>
  </w:footnote>
  <w:footnote w:id="296">
    <w:p w14:paraId="1FB4F8F2" w14:textId="309A0B10" w:rsidR="0012014D" w:rsidRPr="00B30592" w:rsidRDefault="0012014D">
      <w:pPr>
        <w:pStyle w:val="FootnoteText"/>
      </w:pPr>
      <w:r>
        <w:rPr>
          <w:rStyle w:val="FootnoteReference"/>
        </w:rPr>
        <w:footnoteRef/>
      </w:r>
      <w:r>
        <w:t xml:space="preserve"> </w:t>
      </w:r>
      <w:r>
        <w:rPr>
          <w:i/>
        </w:rPr>
        <w:t>See infra</w:t>
      </w:r>
      <w:r>
        <w:t xml:space="preserve"> Part III.B.2.</w:t>
      </w:r>
    </w:p>
  </w:footnote>
  <w:footnote w:id="297">
    <w:p w14:paraId="3A02A029" w14:textId="1498EAA0" w:rsidR="0012014D" w:rsidRDefault="0012014D">
      <w:pPr>
        <w:pStyle w:val="FootnoteText"/>
      </w:pPr>
      <w:r>
        <w:rPr>
          <w:rStyle w:val="FootnoteReference"/>
        </w:rPr>
        <w:footnoteRef/>
      </w:r>
      <w:r>
        <w:t xml:space="preserve"> </w:t>
      </w:r>
      <w:r w:rsidRPr="009E3D6A">
        <w:t xml:space="preserve">Blonder-Tongue </w:t>
      </w:r>
      <w:proofErr w:type="gramStart"/>
      <w:r w:rsidRPr="009E3D6A">
        <w:t>Labs.,</w:t>
      </w:r>
      <w:proofErr w:type="gramEnd"/>
      <w:r w:rsidRPr="009E3D6A">
        <w:t xml:space="preserve"> Inc. v. Univ. of Illinois Found., 402 U.S. 313, 3</w:t>
      </w:r>
      <w:r>
        <w:t>30 (1971).</w:t>
      </w:r>
    </w:p>
  </w:footnote>
  <w:footnote w:id="298">
    <w:p w14:paraId="167F436C" w14:textId="709D0319" w:rsidR="0012014D" w:rsidRDefault="0012014D">
      <w:pPr>
        <w:pStyle w:val="FootnoteText"/>
      </w:pPr>
      <w:r>
        <w:rPr>
          <w:rStyle w:val="FootnoteReference"/>
        </w:rPr>
        <w:footnoteRef/>
      </w:r>
      <w:r>
        <w:t xml:space="preserve"> Fresenius USA, Inc. v. Baxter Int’l, Inc., 733 F.3d 1369, 1372 (Fed. Cir. 2013) (</w:t>
      </w:r>
      <w:proofErr w:type="spellStart"/>
      <w:r>
        <w:t>Dyk</w:t>
      </w:r>
      <w:proofErr w:type="spellEnd"/>
      <w:r>
        <w:t>, J., concurring in denial of rehearing en banc).</w:t>
      </w:r>
    </w:p>
  </w:footnote>
  <w:footnote w:id="299">
    <w:p w14:paraId="254D84F0" w14:textId="7D93FF00" w:rsidR="0012014D" w:rsidRDefault="0012014D" w:rsidP="00F7579E">
      <w:pPr>
        <w:pStyle w:val="FootnoteText"/>
      </w:pPr>
      <w:r>
        <w:rPr>
          <w:rStyle w:val="FootnoteReference"/>
        </w:rPr>
        <w:footnoteRef/>
      </w:r>
      <w:r>
        <w:t xml:space="preserve"> </w:t>
      </w:r>
      <w:r>
        <w:rPr>
          <w:i/>
        </w:rPr>
        <w:t>See, e.g.</w:t>
      </w:r>
      <w:r>
        <w:t xml:space="preserve">, Fresenius USA, Inc. v. Baxter Int’l, Inc., 721 F.3d 1330, 1355 (Fed. Cir. 2013) (Newman, J., dissenting); </w:t>
      </w:r>
      <w:r w:rsidRPr="00686686">
        <w:rPr>
          <w:i/>
        </w:rPr>
        <w:t>Fresenius</w:t>
      </w:r>
      <w:r>
        <w:t>, 733 F.3d at 1376 (O’Malley, J., dissenting from denial of rehearing en banc).</w:t>
      </w:r>
    </w:p>
  </w:footnote>
  <w:footnote w:id="300">
    <w:p w14:paraId="5CFB872A" w14:textId="24424455" w:rsidR="0012014D" w:rsidRPr="00F7539D" w:rsidRDefault="0012014D" w:rsidP="000B0809">
      <w:pPr>
        <w:pStyle w:val="FootnoteText"/>
      </w:pPr>
      <w:r>
        <w:rPr>
          <w:rStyle w:val="FootnoteReference"/>
        </w:rPr>
        <w:footnoteRef/>
      </w:r>
      <w:r>
        <w:t xml:space="preserve"> </w:t>
      </w:r>
      <w:r>
        <w:rPr>
          <w:i/>
        </w:rPr>
        <w:t>See</w:t>
      </w:r>
      <w:r>
        <w:t xml:space="preserve"> 18A </w:t>
      </w:r>
      <w:r w:rsidRPr="005B6B0A">
        <w:rPr>
          <w:smallCaps/>
        </w:rPr>
        <w:t>Wright et al.</w:t>
      </w:r>
      <w:r>
        <w:t xml:space="preserve">, </w:t>
      </w:r>
      <w:r w:rsidRPr="005B6B0A">
        <w:rPr>
          <w:i/>
        </w:rPr>
        <w:t>supra</w:t>
      </w:r>
      <w:r>
        <w:t xml:space="preserve"> note </w:t>
      </w:r>
      <w:r>
        <w:fldChar w:fldCharType="begin"/>
      </w:r>
      <w:r>
        <w:instrText xml:space="preserve"> NOTEREF _Ref300404332 \h </w:instrText>
      </w:r>
      <w:r>
        <w:fldChar w:fldCharType="separate"/>
      </w:r>
      <w:r w:rsidR="00EF4990">
        <w:t>240</w:t>
      </w:r>
      <w:r>
        <w:fldChar w:fldCharType="end"/>
      </w:r>
      <w:r>
        <w:t>, § 4432.</w:t>
      </w:r>
    </w:p>
  </w:footnote>
  <w:footnote w:id="301">
    <w:p w14:paraId="1760517D" w14:textId="6D635138" w:rsidR="0012014D" w:rsidRPr="00C01ACA" w:rsidRDefault="0012014D">
      <w:pPr>
        <w:pStyle w:val="FootnoteText"/>
      </w:pPr>
      <w:r>
        <w:rPr>
          <w:rStyle w:val="FootnoteReference"/>
        </w:rPr>
        <w:footnoteRef/>
      </w:r>
      <w:r>
        <w:t xml:space="preserve"> </w:t>
      </w:r>
      <w:r>
        <w:rPr>
          <w:i/>
        </w:rPr>
        <w:t>Fresenius</w:t>
      </w:r>
      <w:r>
        <w:t xml:space="preserve">, 721 F.3d at 1341-42 (quoting 18A </w:t>
      </w:r>
      <w:r w:rsidRPr="00F7579E">
        <w:rPr>
          <w:smallCaps/>
        </w:rPr>
        <w:t>Wright et al.</w:t>
      </w:r>
      <w:r>
        <w:t xml:space="preserve">, </w:t>
      </w:r>
      <w:r>
        <w:rPr>
          <w:i/>
        </w:rPr>
        <w:t>supra</w:t>
      </w:r>
      <w:r>
        <w:t xml:space="preserve"> note </w:t>
      </w:r>
      <w:r>
        <w:fldChar w:fldCharType="begin"/>
      </w:r>
      <w:r>
        <w:instrText xml:space="preserve"> NOTEREF _Ref300404332 \h </w:instrText>
      </w:r>
      <w:r>
        <w:fldChar w:fldCharType="separate"/>
      </w:r>
      <w:r w:rsidR="00EF4990">
        <w:t>240</w:t>
      </w:r>
      <w:r>
        <w:fldChar w:fldCharType="end"/>
      </w:r>
      <w:r>
        <w:t>, § 4432) (second and third alterations in original, some emphasis omitted).</w:t>
      </w:r>
    </w:p>
  </w:footnote>
  <w:footnote w:id="302">
    <w:p w14:paraId="13FD500E" w14:textId="3652D466" w:rsidR="0012014D" w:rsidRDefault="0012014D" w:rsidP="000B0809">
      <w:pPr>
        <w:pStyle w:val="FootnoteText"/>
      </w:pPr>
      <w:r>
        <w:rPr>
          <w:rStyle w:val="FootnoteReference"/>
        </w:rPr>
        <w:footnoteRef/>
      </w:r>
      <w:r>
        <w:t xml:space="preserve"> </w:t>
      </w:r>
      <w:r w:rsidRPr="00A13A28">
        <w:rPr>
          <w:i/>
        </w:rPr>
        <w:t>Fresenius</w:t>
      </w:r>
      <w:r>
        <w:t>, 733 F.3d at 1380 (O’Malley, J., dissenting from denial of rehearing en banc) (emphasis omitted).</w:t>
      </w:r>
    </w:p>
  </w:footnote>
  <w:footnote w:id="303">
    <w:p w14:paraId="42D77A8D" w14:textId="6911515D" w:rsidR="0012014D" w:rsidRPr="00BE3683" w:rsidRDefault="0012014D" w:rsidP="000B0809">
      <w:pPr>
        <w:pStyle w:val="FootnoteText"/>
      </w:pPr>
      <w:r>
        <w:rPr>
          <w:rStyle w:val="FootnoteReference"/>
        </w:rPr>
        <w:footnoteRef/>
      </w:r>
      <w:r>
        <w:t xml:space="preserve"> </w:t>
      </w:r>
      <w:r w:rsidRPr="00D40AA4">
        <w:t>297 F.2d 80, 89 (2d Cir. 1961)</w:t>
      </w:r>
      <w:r>
        <w:t xml:space="preserve">; </w:t>
      </w:r>
      <w:r>
        <w:rPr>
          <w:i/>
        </w:rPr>
        <w:t>accord</w:t>
      </w:r>
      <w:r>
        <w:t xml:space="preserve"> </w:t>
      </w:r>
      <w:r w:rsidRPr="008E78AD">
        <w:rPr>
          <w:smallCaps/>
        </w:rPr>
        <w:t>Restatement (Second) of Judgments</w:t>
      </w:r>
      <w:r>
        <w:t xml:space="preserve"> § 13 (1982).  </w:t>
      </w:r>
    </w:p>
  </w:footnote>
  <w:footnote w:id="304">
    <w:p w14:paraId="3A2AF9A9" w14:textId="5C965E24" w:rsidR="0012014D" w:rsidRPr="00BE3683" w:rsidRDefault="0012014D">
      <w:pPr>
        <w:pStyle w:val="FootnoteText"/>
      </w:pPr>
      <w:r>
        <w:rPr>
          <w:rStyle w:val="FootnoteReference"/>
        </w:rPr>
        <w:footnoteRef/>
      </w:r>
      <w:r>
        <w:t xml:space="preserve"> </w:t>
      </w:r>
      <w:r>
        <w:rPr>
          <w:i/>
        </w:rPr>
        <w:t>See, e.g.</w:t>
      </w:r>
      <w:r>
        <w:t xml:space="preserve">, </w:t>
      </w:r>
      <w:proofErr w:type="spellStart"/>
      <w:r>
        <w:t>Zdanok</w:t>
      </w:r>
      <w:proofErr w:type="spellEnd"/>
      <w:r>
        <w:t xml:space="preserve"> v. Glidden Co., 327 F.2d 944, 955 (2d Cir. 1964) (Friendly, J.); </w:t>
      </w:r>
      <w:r>
        <w:rPr>
          <w:i/>
        </w:rPr>
        <w:t>see generally</w:t>
      </w:r>
      <w:r>
        <w:t xml:space="preserve"> 18A </w:t>
      </w:r>
      <w:r w:rsidRPr="00065B3C">
        <w:rPr>
          <w:smallCaps/>
        </w:rPr>
        <w:t>Wright et al.</w:t>
      </w:r>
      <w:r>
        <w:t xml:space="preserve">, </w:t>
      </w:r>
      <w:r>
        <w:rPr>
          <w:i/>
        </w:rPr>
        <w:t xml:space="preserve">supra </w:t>
      </w:r>
      <w:r>
        <w:t xml:space="preserve">note </w:t>
      </w:r>
      <w:r>
        <w:fldChar w:fldCharType="begin"/>
      </w:r>
      <w:r>
        <w:instrText xml:space="preserve"> NOTEREF _Ref300404332 \h </w:instrText>
      </w:r>
      <w:r>
        <w:fldChar w:fldCharType="separate"/>
      </w:r>
      <w:r w:rsidR="00EF4990">
        <w:t>240</w:t>
      </w:r>
      <w:r>
        <w:fldChar w:fldCharType="end"/>
      </w:r>
      <w:r>
        <w:t>, § 4434 (citing cases).</w:t>
      </w:r>
    </w:p>
  </w:footnote>
  <w:footnote w:id="305">
    <w:p w14:paraId="3E45B99E" w14:textId="0C08627E" w:rsidR="0012014D" w:rsidRPr="0044608F" w:rsidRDefault="0012014D" w:rsidP="00BB1504">
      <w:pPr>
        <w:pStyle w:val="FootnoteText"/>
      </w:pPr>
      <w:r>
        <w:rPr>
          <w:rStyle w:val="FootnoteReference"/>
        </w:rPr>
        <w:footnoteRef/>
      </w:r>
      <w:r>
        <w:t xml:space="preserve"> </w:t>
      </w:r>
      <w:r>
        <w:rPr>
          <w:i/>
        </w:rPr>
        <w:t xml:space="preserve">See </w:t>
      </w:r>
      <w:r>
        <w:t xml:space="preserve">Fresenius USA, Inc. v. Baxter Int’l, Inc., 559 U.S. 1070 (2010); </w:t>
      </w:r>
      <w:r w:rsidRPr="00457C2D">
        <w:rPr>
          <w:i/>
        </w:rPr>
        <w:t>In re</w:t>
      </w:r>
      <w:r>
        <w:t xml:space="preserve"> Baxter Int’l, Inc., 678 F.3d 1357, 1364 (Fed. Cir. 2012).  It should be noted that the issues of validity and infringement could, in theory, have been considered by the Supreme Court if it had granted certiorari in a subsequent appeal in the infringement case.  </w:t>
      </w:r>
      <w:r>
        <w:rPr>
          <w:i/>
        </w:rPr>
        <w:t xml:space="preserve">See </w:t>
      </w:r>
      <w:proofErr w:type="spellStart"/>
      <w:r>
        <w:t>Amcast</w:t>
      </w:r>
      <w:proofErr w:type="spellEnd"/>
      <w:r>
        <w:t xml:space="preserve"> Indus. Corp. v. </w:t>
      </w:r>
      <w:proofErr w:type="spellStart"/>
      <w:r>
        <w:t>Detrex</w:t>
      </w:r>
      <w:proofErr w:type="spellEnd"/>
      <w:r>
        <w:t xml:space="preserve"> Corp., 45 F.3d 155, 160 (7th Cir. 1995) (Posner, C.J.) (</w:t>
      </w:r>
      <w:proofErr w:type="gramStart"/>
      <w:r>
        <w:t>noting</w:t>
      </w:r>
      <w:proofErr w:type="gramEnd"/>
      <w:r>
        <w:t xml:space="preserve"> that the denial of certiorari from a decision that does not conclude the litigation “does not preclude a grant of certiorari to review the identical issue at a later stage in the case”).  In Baxter’s case, however, that contingency was extremely unlikely because Fresenius had already petitioned the Court to review the Federal Circuit’s rulings on validity and infringement, and the Court denied that petition.  </w:t>
      </w:r>
      <w:r>
        <w:rPr>
          <w:i/>
        </w:rPr>
        <w:t xml:space="preserve">See supra </w:t>
      </w:r>
      <w:r>
        <w:t xml:space="preserve">note </w:t>
      </w:r>
      <w:r>
        <w:fldChar w:fldCharType="begin"/>
      </w:r>
      <w:r>
        <w:instrText xml:space="preserve"> NOTEREF _Ref303261566 \h </w:instrText>
      </w:r>
      <w:r>
        <w:fldChar w:fldCharType="separate"/>
      </w:r>
      <w:r w:rsidR="00EF4990">
        <w:t>172</w:t>
      </w:r>
      <w:r>
        <w:fldChar w:fldCharType="end"/>
      </w:r>
      <w:r>
        <w:t xml:space="preserve"> and accompanying text.  Moreover, even though the Supreme Court has the ability to reconsider issues long since resolved by the lower courts, the lower courts’ rulings remain final for preclusion purposes unless and until that happens.  </w:t>
      </w:r>
      <w:r>
        <w:rPr>
          <w:i/>
        </w:rPr>
        <w:t xml:space="preserve">See </w:t>
      </w:r>
      <w:proofErr w:type="spellStart"/>
      <w:r>
        <w:rPr>
          <w:i/>
        </w:rPr>
        <w:t>Amcast</w:t>
      </w:r>
      <w:proofErr w:type="spellEnd"/>
      <w:r>
        <w:t>, 45 F.3d at 160.</w:t>
      </w:r>
    </w:p>
  </w:footnote>
  <w:footnote w:id="306">
    <w:p w14:paraId="059CC905" w14:textId="06184F33" w:rsidR="0012014D" w:rsidRPr="00480FB0" w:rsidRDefault="0012014D" w:rsidP="000B0809">
      <w:pPr>
        <w:pStyle w:val="FootnoteText"/>
      </w:pPr>
      <w:r>
        <w:rPr>
          <w:rStyle w:val="FootnoteReference"/>
        </w:rPr>
        <w:footnoteRef/>
      </w:r>
      <w:r>
        <w:t xml:space="preserve"> </w:t>
      </w:r>
      <w:r>
        <w:rPr>
          <w:i/>
        </w:rPr>
        <w:t xml:space="preserve">See </w:t>
      </w:r>
      <w:r w:rsidR="00E42459" w:rsidRPr="00480FB0">
        <w:rPr>
          <w:i/>
        </w:rPr>
        <w:t xml:space="preserve">In re </w:t>
      </w:r>
      <w:proofErr w:type="spellStart"/>
      <w:r w:rsidR="00E42459" w:rsidRPr="00480FB0">
        <w:t>ePlus</w:t>
      </w:r>
      <w:proofErr w:type="spellEnd"/>
      <w:r w:rsidR="00E42459" w:rsidRPr="00480FB0">
        <w:t xml:space="preserve">, Inc., 540 F. </w:t>
      </w:r>
      <w:proofErr w:type="spellStart"/>
      <w:r w:rsidR="00E42459" w:rsidRPr="00480FB0">
        <w:t>App’x</w:t>
      </w:r>
      <w:proofErr w:type="spellEnd"/>
      <w:r w:rsidR="00E42459" w:rsidRPr="00480FB0">
        <w:t xml:space="preserve"> 998 (Fed. Cir. 2013)</w:t>
      </w:r>
      <w:r w:rsidR="00E42459">
        <w:t xml:space="preserve">; </w:t>
      </w:r>
      <w:proofErr w:type="spellStart"/>
      <w:r>
        <w:t>ePlus</w:t>
      </w:r>
      <w:proofErr w:type="spellEnd"/>
      <w:r>
        <w:t>, Inc. v. Lawson Software, Inc., 700</w:t>
      </w:r>
      <w:r w:rsidR="00E42459">
        <w:t xml:space="preserve"> F.3d 509, 509 (Fed. Cir. 2012).</w:t>
      </w:r>
    </w:p>
  </w:footnote>
  <w:footnote w:id="307">
    <w:p w14:paraId="71711FDC" w14:textId="7CED8360" w:rsidR="0012014D" w:rsidRPr="00F7579E" w:rsidRDefault="0012014D">
      <w:pPr>
        <w:pStyle w:val="FootnoteText"/>
      </w:pPr>
      <w:r>
        <w:rPr>
          <w:rStyle w:val="FootnoteReference"/>
        </w:rPr>
        <w:footnoteRef/>
      </w:r>
      <w:r>
        <w:t xml:space="preserve"> </w:t>
      </w:r>
      <w:r>
        <w:rPr>
          <w:i/>
        </w:rPr>
        <w:t>See supra</w:t>
      </w:r>
      <w:r>
        <w:t xml:space="preserve"> Part III.B.1.</w:t>
      </w:r>
    </w:p>
  </w:footnote>
  <w:footnote w:id="308">
    <w:p w14:paraId="670B2F5D" w14:textId="363AE074" w:rsidR="0012014D" w:rsidRDefault="0012014D">
      <w:pPr>
        <w:pStyle w:val="FootnoteText"/>
      </w:pPr>
      <w:r>
        <w:rPr>
          <w:rStyle w:val="FootnoteReference"/>
        </w:rPr>
        <w:footnoteRef/>
      </w:r>
      <w:r>
        <w:t xml:space="preserve"> </w:t>
      </w:r>
      <w:r>
        <w:rPr>
          <w:i/>
        </w:rPr>
        <w:t>See supra</w:t>
      </w:r>
      <w:r>
        <w:t xml:space="preserve"> note </w:t>
      </w:r>
      <w:r>
        <w:fldChar w:fldCharType="begin"/>
      </w:r>
      <w:r>
        <w:instrText xml:space="preserve"> NOTEREF _Ref300404653 \h </w:instrText>
      </w:r>
      <w:r>
        <w:fldChar w:fldCharType="separate"/>
      </w:r>
      <w:r w:rsidR="00EF4990">
        <w:t>120</w:t>
      </w:r>
      <w:r>
        <w:fldChar w:fldCharType="end"/>
      </w:r>
      <w:r>
        <w:t xml:space="preserve"> and accompanying text.  Judge Newman has been a noted skeptic of this rule.  </w:t>
      </w:r>
      <w:r>
        <w:rPr>
          <w:i/>
        </w:rPr>
        <w:t xml:space="preserve">See </w:t>
      </w:r>
      <w:r w:rsidRPr="00064F1E">
        <w:rPr>
          <w:i/>
        </w:rPr>
        <w:t>In re</w:t>
      </w:r>
      <w:r w:rsidRPr="009774DF">
        <w:t xml:space="preserve"> Constr. Equip. Co., 665 F.3d 1254, 1263 (Fed. Cir. 2011) (Newman, J., dissenting)</w:t>
      </w:r>
      <w:r>
        <w:t xml:space="preserve"> (arguing that “a patent that has been held valid or invalid in court” should not be subject to reexamination in the PTO)</w:t>
      </w:r>
      <w:r w:rsidRPr="009774DF">
        <w:t>.</w:t>
      </w:r>
    </w:p>
  </w:footnote>
  <w:footnote w:id="309">
    <w:p w14:paraId="7120D1CC" w14:textId="6CB78193" w:rsidR="0012014D" w:rsidRDefault="0012014D">
      <w:pPr>
        <w:pStyle w:val="FootnoteText"/>
      </w:pPr>
      <w:r>
        <w:rPr>
          <w:rStyle w:val="FootnoteReference"/>
        </w:rPr>
        <w:footnoteRef/>
      </w:r>
      <w:r>
        <w:t xml:space="preserve"> This argument is also consistent with the frequent complaint that the Federal Circuit too eagerly embraces bright-line rules and resists context-sensitive standards that would require the court to engage in policy analysis.  Leading explorations of that critique include Dan L. Burk &amp; Mark A. </w:t>
      </w:r>
      <w:proofErr w:type="spellStart"/>
      <w:r>
        <w:t>Lemley</w:t>
      </w:r>
      <w:proofErr w:type="spellEnd"/>
      <w:r>
        <w:t xml:space="preserve">, </w:t>
      </w:r>
      <w:r w:rsidRPr="000B048F">
        <w:rPr>
          <w:i/>
        </w:rPr>
        <w:t>Policy Levers in Patent Law</w:t>
      </w:r>
      <w:r>
        <w:t xml:space="preserve">, </w:t>
      </w:r>
      <w:proofErr w:type="gramStart"/>
      <w:r>
        <w:t>89</w:t>
      </w:r>
      <w:proofErr w:type="gramEnd"/>
      <w:r>
        <w:t xml:space="preserve"> </w:t>
      </w:r>
      <w:r w:rsidRPr="000B048F">
        <w:rPr>
          <w:smallCaps/>
        </w:rPr>
        <w:t>Va. L. Rev.</w:t>
      </w:r>
      <w:r>
        <w:t xml:space="preserve"> 1575, 1671 (2003); Rochelle Cooper </w:t>
      </w:r>
      <w:proofErr w:type="spellStart"/>
      <w:r>
        <w:t>Dreyfuss</w:t>
      </w:r>
      <w:proofErr w:type="spellEnd"/>
      <w:r>
        <w:t xml:space="preserve">, </w:t>
      </w:r>
      <w:r w:rsidRPr="00E506F3">
        <w:rPr>
          <w:i/>
        </w:rPr>
        <w:t>The Federal Circuit:  A Continuing Experiment in Specialization</w:t>
      </w:r>
      <w:r>
        <w:t xml:space="preserve">, 54 </w:t>
      </w:r>
      <w:r w:rsidRPr="00E506F3">
        <w:rPr>
          <w:smallCaps/>
        </w:rPr>
        <w:t>Case W. Res. L. Rev.</w:t>
      </w:r>
      <w:r>
        <w:t xml:space="preserve"> 769, 772 (2004); Craig Allen Nard &amp; John F. Duffy, </w:t>
      </w:r>
      <w:r>
        <w:rPr>
          <w:i/>
        </w:rPr>
        <w:t>Rethinking Patent Law’</w:t>
      </w:r>
      <w:r w:rsidRPr="000B048F">
        <w:rPr>
          <w:i/>
        </w:rPr>
        <w:t>s Uniformity Principle</w:t>
      </w:r>
      <w:r>
        <w:t xml:space="preserve">, 101 </w:t>
      </w:r>
      <w:r w:rsidRPr="000B048F">
        <w:rPr>
          <w:smallCaps/>
        </w:rPr>
        <w:t>Nw. U. L. Rev.</w:t>
      </w:r>
      <w:r>
        <w:t xml:space="preserve"> 1619, 1620-21 (2007); </w:t>
      </w:r>
      <w:proofErr w:type="spellStart"/>
      <w:r>
        <w:t>Arti</w:t>
      </w:r>
      <w:proofErr w:type="spellEnd"/>
      <w:r>
        <w:t xml:space="preserve"> K. Rai, </w:t>
      </w:r>
      <w:r w:rsidRPr="000B048F">
        <w:rPr>
          <w:i/>
        </w:rPr>
        <w:t xml:space="preserve">Engaging Facts and Policy: </w:t>
      </w:r>
      <w:r>
        <w:rPr>
          <w:i/>
        </w:rPr>
        <w:t xml:space="preserve"> </w:t>
      </w:r>
      <w:r w:rsidRPr="000B048F">
        <w:rPr>
          <w:i/>
        </w:rPr>
        <w:t>A Multi-Institutional Approach to Patent System Reform</w:t>
      </w:r>
      <w:r>
        <w:t xml:space="preserve">, 103 </w:t>
      </w:r>
      <w:r w:rsidRPr="000B048F">
        <w:rPr>
          <w:smallCaps/>
        </w:rPr>
        <w:t>Colum. L. Rev.</w:t>
      </w:r>
      <w:r>
        <w:t xml:space="preserve"> 1035, 1103-04 (2003); and John R. Thomas, </w:t>
      </w:r>
      <w:r w:rsidRPr="0076099C">
        <w:rPr>
          <w:i/>
        </w:rPr>
        <w:t>Formalism at the Federal Circuit</w:t>
      </w:r>
      <w:r>
        <w:t xml:space="preserve">, 52 </w:t>
      </w:r>
      <w:r w:rsidRPr="0076099C">
        <w:rPr>
          <w:smallCaps/>
        </w:rPr>
        <w:t>Am. U. L. Rev.</w:t>
      </w:r>
      <w:r>
        <w:t xml:space="preserve"> 771, 774 (2003).</w:t>
      </w:r>
    </w:p>
  </w:footnote>
  <w:footnote w:id="310">
    <w:p w14:paraId="4D855A0C" w14:textId="2252E499" w:rsidR="0012014D" w:rsidRDefault="0012014D">
      <w:pPr>
        <w:pStyle w:val="FootnoteText"/>
      </w:pPr>
      <w:r>
        <w:rPr>
          <w:rStyle w:val="FootnoteReference"/>
        </w:rPr>
        <w:footnoteRef/>
      </w:r>
      <w:r>
        <w:t xml:space="preserve"> </w:t>
      </w:r>
      <w:r w:rsidRPr="00EE133C">
        <w:t>W.L. Gore &amp; Assoc</w:t>
      </w:r>
      <w:r>
        <w:t>s.</w:t>
      </w:r>
      <w:r w:rsidRPr="00EE133C">
        <w:t xml:space="preserve">, Inc. v. </w:t>
      </w:r>
      <w:proofErr w:type="spellStart"/>
      <w:r w:rsidRPr="00EE133C">
        <w:t>Garlock</w:t>
      </w:r>
      <w:proofErr w:type="spellEnd"/>
      <w:r w:rsidRPr="00EE133C">
        <w:t>, Inc., 842 F.2d 1275, 1279 (Fed. Cir. 1988)</w:t>
      </w:r>
      <w:r>
        <w:t>.</w:t>
      </w:r>
    </w:p>
  </w:footnote>
  <w:footnote w:id="311">
    <w:p w14:paraId="1E8C03C5" w14:textId="4C735FB5" w:rsidR="0012014D" w:rsidRDefault="0012014D" w:rsidP="00F86E14">
      <w:pPr>
        <w:pStyle w:val="FootnoteText"/>
      </w:pPr>
      <w:r>
        <w:rPr>
          <w:rStyle w:val="FootnoteReference"/>
        </w:rPr>
        <w:footnoteRef/>
      </w:r>
      <w:r>
        <w:t xml:space="preserve"> </w:t>
      </w:r>
      <w:r w:rsidRPr="00C90E03">
        <w:t>White v. Murtha, 377 F.2d 428, 431-32 (5th Cir.</w:t>
      </w:r>
      <w:r>
        <w:t xml:space="preserve"> 1967</w:t>
      </w:r>
      <w:r w:rsidRPr="00C90E03">
        <w:t>)</w:t>
      </w:r>
      <w:r>
        <w:t xml:space="preserve">; </w:t>
      </w:r>
      <w:r>
        <w:rPr>
          <w:i/>
        </w:rPr>
        <w:t>accord</w:t>
      </w:r>
      <w:r>
        <w:t xml:space="preserve"> </w:t>
      </w:r>
      <w:proofErr w:type="spellStart"/>
      <w:r>
        <w:t>Ormco</w:t>
      </w:r>
      <w:proofErr w:type="spellEnd"/>
      <w:r>
        <w:t xml:space="preserve"> Corp. v. Align Tech., Inc., 498 F.3d 1307, 1319 (Fed. Cir. 2007).</w:t>
      </w:r>
    </w:p>
  </w:footnote>
  <w:footnote w:id="312">
    <w:p w14:paraId="34650C25" w14:textId="267724B2" w:rsidR="0012014D" w:rsidRDefault="0012014D" w:rsidP="00EE133C">
      <w:pPr>
        <w:pStyle w:val="FootnoteText"/>
      </w:pPr>
      <w:r>
        <w:rPr>
          <w:rStyle w:val="FootnoteReference"/>
        </w:rPr>
        <w:footnoteRef/>
      </w:r>
      <w:r>
        <w:t xml:space="preserve"> Higgins v. Cal. Prune &amp; Apricot Grower, Inc., 3 F.2d 896, 898 (2d Cir. 1924) (Hand, J., sitting by designation) (“‘[L]aw of the case’ does not rigidly bind a court to its former decisions, but is only addressed to its good sense.”).</w:t>
      </w:r>
    </w:p>
  </w:footnote>
  <w:footnote w:id="313">
    <w:p w14:paraId="0107E2AC" w14:textId="45634AD3" w:rsidR="0012014D" w:rsidRDefault="0012014D">
      <w:pPr>
        <w:pStyle w:val="FootnoteText"/>
      </w:pPr>
      <w:r>
        <w:rPr>
          <w:rStyle w:val="FootnoteReference"/>
        </w:rPr>
        <w:footnoteRef/>
      </w:r>
      <w:r>
        <w:t xml:space="preserve"> </w:t>
      </w:r>
      <w:r>
        <w:rPr>
          <w:i/>
        </w:rPr>
        <w:t xml:space="preserve">See </w:t>
      </w:r>
      <w:r>
        <w:t xml:space="preserve">18B </w:t>
      </w:r>
      <w:r w:rsidRPr="005B6B0A">
        <w:rPr>
          <w:smallCaps/>
        </w:rPr>
        <w:t>Wright et al.</w:t>
      </w:r>
      <w:r>
        <w:t xml:space="preserve">, </w:t>
      </w:r>
      <w:r w:rsidRPr="005B6B0A">
        <w:rPr>
          <w:i/>
        </w:rPr>
        <w:t>supra</w:t>
      </w:r>
      <w:r>
        <w:t xml:space="preserve"> note </w:t>
      </w:r>
      <w:r>
        <w:fldChar w:fldCharType="begin"/>
      </w:r>
      <w:r>
        <w:instrText xml:space="preserve"> NOTEREF _Ref300404332 \h </w:instrText>
      </w:r>
      <w:r>
        <w:fldChar w:fldCharType="separate"/>
      </w:r>
      <w:r w:rsidR="00EF4990">
        <w:t>240</w:t>
      </w:r>
      <w:r>
        <w:fldChar w:fldCharType="end"/>
      </w:r>
      <w:r>
        <w:t>, § 4478.</w:t>
      </w:r>
    </w:p>
  </w:footnote>
  <w:footnote w:id="314">
    <w:p w14:paraId="3B1E99D7" w14:textId="30A5BE14" w:rsidR="0012014D" w:rsidRPr="00336B1D" w:rsidRDefault="0012014D">
      <w:pPr>
        <w:pStyle w:val="FootnoteText"/>
      </w:pPr>
      <w:r>
        <w:rPr>
          <w:rStyle w:val="FootnoteReference"/>
        </w:rPr>
        <w:footnoteRef/>
      </w:r>
      <w:r>
        <w:t xml:space="preserve"> </w:t>
      </w:r>
      <w:r>
        <w:rPr>
          <w:i/>
        </w:rPr>
        <w:t xml:space="preserve">See </w:t>
      </w:r>
      <w:r>
        <w:t xml:space="preserve">Allan D. Vestal, </w:t>
      </w:r>
      <w:r>
        <w:rPr>
          <w:i/>
        </w:rPr>
        <w:t>Law of the Case:  Single-Suit Preclusion</w:t>
      </w:r>
      <w:r>
        <w:t xml:space="preserve">, 1967 </w:t>
      </w:r>
      <w:r w:rsidRPr="00336B1D">
        <w:rPr>
          <w:smallCaps/>
        </w:rPr>
        <w:t>Utah L. Rev.</w:t>
      </w:r>
      <w:r>
        <w:t xml:space="preserve"> 1, 2.</w:t>
      </w:r>
    </w:p>
  </w:footnote>
  <w:footnote w:id="315">
    <w:p w14:paraId="24C3F427" w14:textId="0E16A6FC" w:rsidR="0012014D" w:rsidRDefault="0012014D">
      <w:pPr>
        <w:pStyle w:val="FootnoteText"/>
      </w:pPr>
      <w:r>
        <w:rPr>
          <w:rStyle w:val="FootnoteReference"/>
        </w:rPr>
        <w:footnoteRef/>
      </w:r>
      <w:r>
        <w:t xml:space="preserve"> </w:t>
      </w:r>
      <w:r>
        <w:rPr>
          <w:i/>
        </w:rPr>
        <w:t>See id.</w:t>
      </w:r>
    </w:p>
  </w:footnote>
  <w:footnote w:id="316">
    <w:p w14:paraId="53DE4C51" w14:textId="3D0B6D10" w:rsidR="0012014D" w:rsidRDefault="0012014D">
      <w:pPr>
        <w:pStyle w:val="FootnoteText"/>
      </w:pPr>
      <w:r>
        <w:rPr>
          <w:rStyle w:val="FootnoteReference"/>
        </w:rPr>
        <w:footnoteRef/>
      </w:r>
      <w:r>
        <w:t xml:space="preserve"> </w:t>
      </w:r>
      <w:r>
        <w:rPr>
          <w:i/>
        </w:rPr>
        <w:t xml:space="preserve">See </w:t>
      </w:r>
      <w:r>
        <w:t xml:space="preserve">Joan Steinman, </w:t>
      </w:r>
      <w:r>
        <w:rPr>
          <w:i/>
        </w:rPr>
        <w:t>Law of the Case:  A Judicial Puzzle in Consolidated and Transferred Cases in Multidistrict Litigation</w:t>
      </w:r>
      <w:r>
        <w:t xml:space="preserve">, 135 </w:t>
      </w:r>
      <w:r w:rsidRPr="00927FA5">
        <w:rPr>
          <w:smallCaps/>
        </w:rPr>
        <w:t>U. Pa. L. Rev.</w:t>
      </w:r>
      <w:r>
        <w:t xml:space="preserve"> 595, 607 (1987).</w:t>
      </w:r>
    </w:p>
  </w:footnote>
  <w:footnote w:id="317">
    <w:p w14:paraId="5107AFE1" w14:textId="77777777" w:rsidR="0012014D" w:rsidRPr="00CF4055" w:rsidRDefault="0012014D" w:rsidP="00FC3495">
      <w:pPr>
        <w:pStyle w:val="FootnoteText"/>
      </w:pPr>
      <w:r>
        <w:rPr>
          <w:rStyle w:val="FootnoteReference"/>
        </w:rPr>
        <w:footnoteRef/>
      </w:r>
      <w:r>
        <w:t xml:space="preserve"> 3 F.2d 577, 577 (7th Cir. 1924), </w:t>
      </w:r>
      <w:r>
        <w:rPr>
          <w:i/>
        </w:rPr>
        <w:t xml:space="preserve">cited in </w:t>
      </w:r>
      <w:r>
        <w:t>Fresenius USA, Inc. v. Baxter Int’l, Inc., 721 F.3d 1330, 1344 n.10 (Fed. Cir. 2013).</w:t>
      </w:r>
    </w:p>
  </w:footnote>
  <w:footnote w:id="318">
    <w:p w14:paraId="0CDBFC15" w14:textId="6FF755EC" w:rsidR="0012014D" w:rsidRPr="00FC3495" w:rsidRDefault="0012014D">
      <w:pPr>
        <w:pStyle w:val="FootnoteText"/>
        <w:rPr>
          <w:i/>
        </w:rPr>
      </w:pPr>
      <w:r>
        <w:rPr>
          <w:rStyle w:val="FootnoteReference"/>
        </w:rPr>
        <w:footnoteRef/>
      </w:r>
      <w:r>
        <w:t xml:space="preserve"> </w:t>
      </w:r>
      <w:r>
        <w:rPr>
          <w:i/>
        </w:rPr>
        <w:t>Id.</w:t>
      </w:r>
    </w:p>
  </w:footnote>
  <w:footnote w:id="319">
    <w:p w14:paraId="4E61A474" w14:textId="0DD20508" w:rsidR="0012014D" w:rsidRPr="00CF4055" w:rsidRDefault="0012014D">
      <w:pPr>
        <w:pStyle w:val="FootnoteText"/>
      </w:pPr>
      <w:r>
        <w:rPr>
          <w:rStyle w:val="FootnoteReference"/>
        </w:rPr>
        <w:footnoteRef/>
      </w:r>
      <w:r>
        <w:t xml:space="preserve"> </w:t>
      </w:r>
      <w:r>
        <w:rPr>
          <w:i/>
        </w:rPr>
        <w:t>Id.</w:t>
      </w:r>
      <w:r>
        <w:t xml:space="preserve"> at 579.</w:t>
      </w:r>
    </w:p>
  </w:footnote>
  <w:footnote w:id="320">
    <w:p w14:paraId="49A0D844" w14:textId="54E436E8" w:rsidR="0012014D" w:rsidRPr="00CF4055" w:rsidRDefault="0012014D">
      <w:pPr>
        <w:pStyle w:val="FootnoteText"/>
        <w:rPr>
          <w:i/>
        </w:rPr>
      </w:pPr>
      <w:r>
        <w:rPr>
          <w:rStyle w:val="FootnoteReference"/>
        </w:rPr>
        <w:footnoteRef/>
      </w:r>
      <w:r>
        <w:t xml:space="preserve"> </w:t>
      </w:r>
      <w:r>
        <w:rPr>
          <w:i/>
        </w:rPr>
        <w:t>Id.</w:t>
      </w:r>
    </w:p>
  </w:footnote>
  <w:footnote w:id="321">
    <w:p w14:paraId="764F29FD" w14:textId="79544923" w:rsidR="0012014D" w:rsidRPr="00CF4055" w:rsidRDefault="0012014D">
      <w:pPr>
        <w:pStyle w:val="FootnoteText"/>
      </w:pPr>
      <w:r>
        <w:rPr>
          <w:rStyle w:val="FootnoteReference"/>
        </w:rPr>
        <w:footnoteRef/>
      </w:r>
      <w:r>
        <w:t xml:space="preserve"> </w:t>
      </w:r>
      <w:r>
        <w:rPr>
          <w:i/>
        </w:rPr>
        <w:t>Id.</w:t>
      </w:r>
      <w:r>
        <w:t xml:space="preserve"> at 577.</w:t>
      </w:r>
    </w:p>
  </w:footnote>
  <w:footnote w:id="322">
    <w:p w14:paraId="45F6F146" w14:textId="1AEB968D" w:rsidR="0012014D" w:rsidRPr="00CF4055" w:rsidRDefault="0012014D">
      <w:pPr>
        <w:pStyle w:val="FootnoteText"/>
      </w:pPr>
      <w:r>
        <w:rPr>
          <w:rStyle w:val="FootnoteReference"/>
        </w:rPr>
        <w:footnoteRef/>
      </w:r>
      <w:r>
        <w:t xml:space="preserve"> </w:t>
      </w:r>
      <w:r>
        <w:rPr>
          <w:i/>
        </w:rPr>
        <w:t>Id.</w:t>
      </w:r>
      <w:r>
        <w:t xml:space="preserve"> at 580.</w:t>
      </w:r>
    </w:p>
  </w:footnote>
  <w:footnote w:id="323">
    <w:p w14:paraId="7D41CDCB" w14:textId="1F64174D" w:rsidR="0012014D" w:rsidRDefault="0012014D" w:rsidP="00CF4055">
      <w:pPr>
        <w:pStyle w:val="FootnoteText"/>
      </w:pPr>
      <w:r>
        <w:rPr>
          <w:rStyle w:val="FootnoteReference"/>
        </w:rPr>
        <w:footnoteRef/>
      </w:r>
      <w:r>
        <w:t xml:space="preserve"> </w:t>
      </w:r>
      <w:r>
        <w:rPr>
          <w:i/>
        </w:rPr>
        <w:t xml:space="preserve">Id. </w:t>
      </w:r>
      <w:r>
        <w:t>(citing Simmons Co. v. Grier Bros., 258 U.S. 82 (1922)).</w:t>
      </w:r>
    </w:p>
  </w:footnote>
  <w:footnote w:id="324">
    <w:p w14:paraId="71E4815D" w14:textId="42B4CC6E" w:rsidR="0012014D" w:rsidRDefault="0012014D">
      <w:pPr>
        <w:pStyle w:val="FootnoteText"/>
      </w:pPr>
      <w:r>
        <w:rPr>
          <w:rStyle w:val="FootnoteReference"/>
        </w:rPr>
        <w:footnoteRef/>
      </w:r>
      <w:r>
        <w:t xml:space="preserve"> Mendenhall v. Barber-Greene Co., 26 F.3d 1573, 1583 (Fed. Cir. 1994).</w:t>
      </w:r>
    </w:p>
  </w:footnote>
  <w:footnote w:id="325">
    <w:p w14:paraId="484A0466" w14:textId="5CDD2E52" w:rsidR="0012014D" w:rsidRPr="00AD3197" w:rsidRDefault="0012014D" w:rsidP="00CF4055">
      <w:pPr>
        <w:pStyle w:val="FootnoteText"/>
      </w:pPr>
      <w:r>
        <w:rPr>
          <w:rStyle w:val="FootnoteReference"/>
        </w:rPr>
        <w:footnoteRef/>
      </w:r>
      <w:r>
        <w:t xml:space="preserve"> </w:t>
      </w:r>
      <w:r>
        <w:rPr>
          <w:i/>
        </w:rPr>
        <w:t>Id.</w:t>
      </w:r>
      <w:r>
        <w:t xml:space="preserve"> at 1583.</w:t>
      </w:r>
      <w:r w:rsidRPr="00AD3197">
        <w:t xml:space="preserve"> </w:t>
      </w:r>
      <w:r>
        <w:t xml:space="preserve"> </w:t>
      </w:r>
    </w:p>
  </w:footnote>
  <w:footnote w:id="326">
    <w:p w14:paraId="55F38AE1" w14:textId="5CD40828" w:rsidR="0012014D" w:rsidRPr="00107EFA" w:rsidRDefault="0012014D">
      <w:pPr>
        <w:pStyle w:val="FootnoteText"/>
        <w:rPr>
          <w:i/>
        </w:rPr>
      </w:pPr>
      <w:r>
        <w:rPr>
          <w:rStyle w:val="FootnoteReference"/>
        </w:rPr>
        <w:footnoteRef/>
      </w:r>
      <w:r>
        <w:t xml:space="preserve"> </w:t>
      </w:r>
      <w:r>
        <w:rPr>
          <w:i/>
        </w:rPr>
        <w:t xml:space="preserve">See </w:t>
      </w:r>
      <w:r>
        <w:t xml:space="preserve">Steinman, </w:t>
      </w:r>
      <w:r>
        <w:rPr>
          <w:i/>
        </w:rPr>
        <w:t xml:space="preserve">supra </w:t>
      </w:r>
      <w:r>
        <w:t xml:space="preserve">note </w:t>
      </w:r>
      <w:r>
        <w:fldChar w:fldCharType="begin"/>
      </w:r>
      <w:r>
        <w:instrText xml:space="preserve"> NOTEREF _Ref430714204 \h </w:instrText>
      </w:r>
      <w:r>
        <w:fldChar w:fldCharType="separate"/>
      </w:r>
      <w:r w:rsidR="00EF4990">
        <w:t>315</w:t>
      </w:r>
      <w:r>
        <w:fldChar w:fldCharType="end"/>
      </w:r>
      <w:r>
        <w:t>, at 599 (“Law of the case principles are . . . best understood as rules of sensible and sound practice that permit logical progression toward judgment, but that do not disable a court from altering prior interlocutory decisions in a case.”).</w:t>
      </w:r>
    </w:p>
  </w:footnote>
  <w:footnote w:id="327">
    <w:p w14:paraId="5217F0A4" w14:textId="5090BC08" w:rsidR="0012014D" w:rsidRPr="00F42768" w:rsidRDefault="0012014D" w:rsidP="00107EFA">
      <w:pPr>
        <w:pStyle w:val="FootnoteText"/>
      </w:pPr>
      <w:r w:rsidRPr="00107EFA">
        <w:rPr>
          <w:rStyle w:val="FootnoteReference"/>
        </w:rPr>
        <w:footnoteRef/>
      </w:r>
      <w:r w:rsidRPr="00107EFA">
        <w:t xml:space="preserve"> </w:t>
      </w:r>
      <w:r>
        <w:rPr>
          <w:i/>
        </w:rPr>
        <w:t xml:space="preserve">See </w:t>
      </w:r>
      <w:proofErr w:type="spellStart"/>
      <w:r>
        <w:t>ePlus</w:t>
      </w:r>
      <w:proofErr w:type="spellEnd"/>
      <w:r>
        <w:t xml:space="preserve">, Inc. v. Lawson Software, Inc., 790 F.3d 1307, 1309 (Fed. Cir. 2015) </w:t>
      </w:r>
      <w:r w:rsidRPr="00107EFA">
        <w:t>(</w:t>
      </w:r>
      <w:proofErr w:type="spellStart"/>
      <w:r w:rsidRPr="00107EFA">
        <w:t>Dyk</w:t>
      </w:r>
      <w:proofErr w:type="spellEnd"/>
      <w:r w:rsidRPr="00107EFA">
        <w:t xml:space="preserve">, J., concurring in denial of rehearing en banc) </w:t>
      </w:r>
      <w:r>
        <w:t xml:space="preserve">(arguing </w:t>
      </w:r>
      <w:r w:rsidRPr="00107EFA">
        <w:t xml:space="preserve">that “it would be ‘manifestly </w:t>
      </w:r>
      <w:r w:rsidRPr="00107EFA">
        <w:rPr>
          <w:i/>
        </w:rPr>
        <w:t>unjust</w:t>
      </w:r>
      <w:r w:rsidRPr="00107EFA">
        <w:t xml:space="preserve">’ to allow </w:t>
      </w:r>
      <w:r>
        <w:t>[the patent holder]</w:t>
      </w:r>
      <w:r w:rsidRPr="00107EFA">
        <w:t xml:space="preserve"> to recover from its invalid patent ‘when the rest of the industry is not impeded by the patents’” (quoting </w:t>
      </w:r>
      <w:r w:rsidRPr="00107EFA">
        <w:rPr>
          <w:i/>
        </w:rPr>
        <w:t>Mendenhall</w:t>
      </w:r>
      <w:r w:rsidRPr="00107EFA">
        <w:t xml:space="preserve">, 26 F.3d </w:t>
      </w:r>
      <w:r>
        <w:t>at</w:t>
      </w:r>
      <w:r w:rsidRPr="00107EFA">
        <w:t xml:space="preserve"> 1583))</w:t>
      </w:r>
      <w:r>
        <w:t xml:space="preserve">; </w:t>
      </w:r>
      <w:r>
        <w:rPr>
          <w:i/>
        </w:rPr>
        <w:t xml:space="preserve">see also </w:t>
      </w:r>
      <w:proofErr w:type="spellStart"/>
      <w:r>
        <w:t>Ilardi</w:t>
      </w:r>
      <w:proofErr w:type="spellEnd"/>
      <w:r>
        <w:t xml:space="preserve">, </w:t>
      </w:r>
      <w:r>
        <w:rPr>
          <w:i/>
        </w:rPr>
        <w:t>supra</w:t>
      </w:r>
      <w:r>
        <w:t xml:space="preserve"> note </w:t>
      </w:r>
      <w:r>
        <w:fldChar w:fldCharType="begin"/>
      </w:r>
      <w:r>
        <w:instrText xml:space="preserve"> NOTEREF _Ref428525047 \h </w:instrText>
      </w:r>
      <w:r>
        <w:fldChar w:fldCharType="separate"/>
      </w:r>
      <w:r w:rsidR="00EF4990">
        <w:t>139</w:t>
      </w:r>
      <w:r>
        <w:fldChar w:fldCharType="end"/>
      </w:r>
      <w:r>
        <w:t xml:space="preserve">, at 2235 (“Most people would likely agree that the . . . outcome [in </w:t>
      </w:r>
      <w:r>
        <w:rPr>
          <w:i/>
        </w:rPr>
        <w:t>Fresenius</w:t>
      </w:r>
      <w:r>
        <w:t>] was correct—collecting damages on a patent that turns out to be invalid seems at odds with fundamental concepts of fairness . . . .”).</w:t>
      </w:r>
    </w:p>
  </w:footnote>
  <w:footnote w:id="328">
    <w:p w14:paraId="1C368DCD" w14:textId="4836AE23" w:rsidR="0012014D" w:rsidRDefault="0012014D" w:rsidP="005C6FE6">
      <w:pPr>
        <w:pStyle w:val="FootnoteText"/>
      </w:pPr>
      <w:r>
        <w:rPr>
          <w:rStyle w:val="FootnoteReference"/>
        </w:rPr>
        <w:footnoteRef/>
      </w:r>
      <w:r>
        <w:t xml:space="preserve"> </w:t>
      </w:r>
      <w:r>
        <w:rPr>
          <w:i/>
        </w:rPr>
        <w:t xml:space="preserve">See </w:t>
      </w:r>
      <w:r>
        <w:t>Fresenius Med. Care Holdings, Inc. v. Baxter Int’l, Inc., No. C 03-1431, 2007 WL 1655625, at *1 (N.D. Cal. June 7, 2007) (noting that the district court had denied Fresenius’</w:t>
      </w:r>
      <w:r w:rsidRPr="00892787">
        <w:t xml:space="preserve"> motions for summary judgment o</w:t>
      </w:r>
      <w:r>
        <w:t>f invalidity and granted Baxter’</w:t>
      </w:r>
      <w:r w:rsidRPr="00892787">
        <w:t>s motion for partial summary judgment of validity</w:t>
      </w:r>
      <w:r>
        <w:t>).</w:t>
      </w:r>
    </w:p>
  </w:footnote>
  <w:footnote w:id="329">
    <w:p w14:paraId="3BBE6903" w14:textId="4A417788" w:rsidR="0012014D" w:rsidRPr="00B12481" w:rsidRDefault="0012014D" w:rsidP="006A6456">
      <w:pPr>
        <w:pStyle w:val="FootnoteText"/>
      </w:pPr>
      <w:r>
        <w:rPr>
          <w:rStyle w:val="FootnoteReference"/>
        </w:rPr>
        <w:footnoteRef/>
      </w:r>
      <w:r>
        <w:t xml:space="preserve"> </w:t>
      </w:r>
      <w:r>
        <w:rPr>
          <w:i/>
        </w:rPr>
        <w:t>See generally</w:t>
      </w:r>
      <w:r>
        <w:t xml:space="preserve"> </w:t>
      </w:r>
      <w:r w:rsidRPr="00B12481">
        <w:rPr>
          <w:smallCaps/>
        </w:rPr>
        <w:t xml:space="preserve">Christina </w:t>
      </w:r>
      <w:proofErr w:type="spellStart"/>
      <w:r w:rsidRPr="00B12481">
        <w:rPr>
          <w:smallCaps/>
        </w:rPr>
        <w:t>Bohannan</w:t>
      </w:r>
      <w:proofErr w:type="spellEnd"/>
      <w:r w:rsidRPr="00B12481">
        <w:rPr>
          <w:smallCaps/>
        </w:rPr>
        <w:t xml:space="preserve"> &amp; Herbert </w:t>
      </w:r>
      <w:proofErr w:type="spellStart"/>
      <w:r w:rsidRPr="00B12481">
        <w:rPr>
          <w:smallCaps/>
        </w:rPr>
        <w:t>Hovenkamp</w:t>
      </w:r>
      <w:proofErr w:type="spellEnd"/>
      <w:r w:rsidRPr="00B12481">
        <w:rPr>
          <w:smallCaps/>
        </w:rPr>
        <w:t>, Creation Without Restraint:  Promoting Liberty and Rivalry in Innovation</w:t>
      </w:r>
      <w:r>
        <w:t xml:space="preserve"> 61 (2012) (summarizing critiques of the modern patent system).</w:t>
      </w:r>
    </w:p>
  </w:footnote>
  <w:footnote w:id="330">
    <w:p w14:paraId="6B019550" w14:textId="255CBFA0" w:rsidR="0012014D" w:rsidRDefault="0012014D" w:rsidP="009B5C72">
      <w:pPr>
        <w:pStyle w:val="FootnoteText"/>
      </w:pPr>
      <w:r>
        <w:rPr>
          <w:rStyle w:val="FootnoteReference"/>
        </w:rPr>
        <w:footnoteRef/>
      </w:r>
      <w:r>
        <w:t xml:space="preserve"> </w:t>
      </w:r>
      <w:r w:rsidRPr="009B5C72">
        <w:rPr>
          <w:i/>
        </w:rPr>
        <w:t>See</w:t>
      </w:r>
      <w:r>
        <w:t xml:space="preserve"> Megan M. La Belle, </w:t>
      </w:r>
      <w:r w:rsidRPr="009B5C72">
        <w:rPr>
          <w:i/>
        </w:rPr>
        <w:t>Patent Law As Public Law</w:t>
      </w:r>
      <w:r>
        <w:t xml:space="preserve">, 20 </w:t>
      </w:r>
      <w:r w:rsidRPr="009B5C72">
        <w:rPr>
          <w:smallCaps/>
        </w:rPr>
        <w:t>Geo. Mason L. Rev.</w:t>
      </w:r>
      <w:r>
        <w:t xml:space="preserve"> 41, 62-63 (2012) (discussing cases).</w:t>
      </w:r>
    </w:p>
  </w:footnote>
  <w:footnote w:id="331">
    <w:p w14:paraId="23452CFF" w14:textId="6AC62EA5" w:rsidR="0012014D" w:rsidRPr="009E3D6A" w:rsidRDefault="0012014D" w:rsidP="00BB4F6A">
      <w:pPr>
        <w:pStyle w:val="FootnoteText"/>
      </w:pPr>
      <w:r>
        <w:rPr>
          <w:rStyle w:val="FootnoteReference"/>
        </w:rPr>
        <w:footnoteRef/>
      </w:r>
      <w:r>
        <w:t xml:space="preserve"> </w:t>
      </w:r>
      <w:r w:rsidRPr="009E3D6A">
        <w:t xml:space="preserve">Blonder-Tongue </w:t>
      </w:r>
      <w:proofErr w:type="gramStart"/>
      <w:r w:rsidRPr="009E3D6A">
        <w:t>Labs.,</w:t>
      </w:r>
      <w:proofErr w:type="gramEnd"/>
      <w:r w:rsidRPr="009E3D6A">
        <w:t xml:space="preserve"> Inc. v. Univ. of Illinois Found., 402 U.S. 313, 328</w:t>
      </w:r>
      <w:r>
        <w:t xml:space="preserve"> (1971).</w:t>
      </w:r>
    </w:p>
  </w:footnote>
  <w:footnote w:id="332">
    <w:p w14:paraId="79FA32D3" w14:textId="6FD5172D" w:rsidR="0012014D" w:rsidRDefault="0012014D">
      <w:pPr>
        <w:pStyle w:val="FootnoteText"/>
      </w:pPr>
      <w:r>
        <w:rPr>
          <w:rStyle w:val="FootnoteReference"/>
        </w:rPr>
        <w:footnoteRef/>
      </w:r>
      <w:r>
        <w:t xml:space="preserve"> 439 U.S. 322, 332-33 (1979).</w:t>
      </w:r>
    </w:p>
  </w:footnote>
  <w:footnote w:id="333">
    <w:p w14:paraId="245F8A83" w14:textId="25F49308" w:rsidR="0012014D" w:rsidRPr="004423C7" w:rsidRDefault="0012014D" w:rsidP="00686E66">
      <w:pPr>
        <w:pStyle w:val="FootnoteText"/>
      </w:pPr>
      <w:r>
        <w:rPr>
          <w:rStyle w:val="FootnoteReference"/>
        </w:rPr>
        <w:footnoteRef/>
      </w:r>
      <w:r>
        <w:t xml:space="preserve"> </w:t>
      </w:r>
      <w:r w:rsidRPr="006503CA">
        <w:t xml:space="preserve">Brainerd Currie, </w:t>
      </w:r>
      <w:r w:rsidRPr="006503CA">
        <w:rPr>
          <w:i/>
        </w:rPr>
        <w:t xml:space="preserve">Mutuality of Collateral Estoppel: </w:t>
      </w:r>
      <w:r>
        <w:rPr>
          <w:i/>
        </w:rPr>
        <w:t xml:space="preserve"> </w:t>
      </w:r>
      <w:r w:rsidRPr="006503CA">
        <w:rPr>
          <w:i/>
        </w:rPr>
        <w:t xml:space="preserve">Limits of the </w:t>
      </w:r>
      <w:r w:rsidRPr="006503CA">
        <w:t>Bernhard</w:t>
      </w:r>
      <w:r w:rsidRPr="006503CA">
        <w:rPr>
          <w:i/>
        </w:rPr>
        <w:t xml:space="preserve"> Doctrine</w:t>
      </w:r>
      <w:r w:rsidRPr="006503CA">
        <w:t xml:space="preserve">, 9 </w:t>
      </w:r>
      <w:r w:rsidRPr="004E22FD">
        <w:rPr>
          <w:smallCaps/>
        </w:rPr>
        <w:t>Stan. L. Rev.</w:t>
      </w:r>
      <w:r w:rsidRPr="006503CA">
        <w:t xml:space="preserve"> 281, 315 (1957)</w:t>
      </w:r>
      <w:r>
        <w:t xml:space="preserve">.  For a similar observation in the context of law of the case, see James William Moore &amp; Robert Stephen </w:t>
      </w:r>
      <w:proofErr w:type="spellStart"/>
      <w:r>
        <w:t>Oglebay</w:t>
      </w:r>
      <w:proofErr w:type="spellEnd"/>
      <w:r>
        <w:t xml:space="preserve">, </w:t>
      </w:r>
      <w:r>
        <w:rPr>
          <w:i/>
        </w:rPr>
        <w:t>The Supreme Court, Stare Decisis, and Law of the Case</w:t>
      </w:r>
      <w:r>
        <w:t xml:space="preserve">, 21 </w:t>
      </w:r>
      <w:r w:rsidRPr="004423C7">
        <w:rPr>
          <w:smallCaps/>
        </w:rPr>
        <w:t>Tex. L. Rev.</w:t>
      </w:r>
      <w:r>
        <w:t xml:space="preserve"> 514, 553 (1943) (“Practical results, rather than academic pedantry, are needed [in assessing law of the case].  And it should always be borne in mind that those ends necessitate a termination of litigation within a reasonable time, rather than the inconclusive striving for some theoretical ideal.”).</w:t>
      </w:r>
    </w:p>
  </w:footnote>
  <w:footnote w:id="334">
    <w:p w14:paraId="00519A96" w14:textId="36250984" w:rsidR="0012014D" w:rsidRPr="006B2D04" w:rsidRDefault="0012014D" w:rsidP="00686E66">
      <w:pPr>
        <w:pStyle w:val="FootnoteText"/>
      </w:pPr>
      <w:r>
        <w:rPr>
          <w:rStyle w:val="FootnoteReference"/>
        </w:rPr>
        <w:footnoteRef/>
      </w:r>
      <w:r>
        <w:t xml:space="preserve"> 402 U.S. at 329.</w:t>
      </w:r>
    </w:p>
  </w:footnote>
  <w:footnote w:id="335">
    <w:p w14:paraId="55A41B8C" w14:textId="77777777" w:rsidR="0012014D" w:rsidRPr="006503CA" w:rsidRDefault="0012014D" w:rsidP="00686E66">
      <w:pPr>
        <w:pStyle w:val="FootnoteText"/>
      </w:pPr>
      <w:r>
        <w:rPr>
          <w:rStyle w:val="FootnoteReference"/>
        </w:rPr>
        <w:footnoteRef/>
      </w:r>
      <w:r>
        <w:t xml:space="preserve"> </w:t>
      </w:r>
      <w:r>
        <w:rPr>
          <w:i/>
        </w:rPr>
        <w:t>Id.</w:t>
      </w:r>
    </w:p>
  </w:footnote>
  <w:footnote w:id="336">
    <w:p w14:paraId="6EC90AA0" w14:textId="086043D6" w:rsidR="0012014D" w:rsidRPr="0050038F" w:rsidRDefault="0012014D">
      <w:pPr>
        <w:pStyle w:val="FootnoteText"/>
      </w:pPr>
      <w:r>
        <w:rPr>
          <w:rStyle w:val="FootnoteReference"/>
        </w:rPr>
        <w:footnoteRef/>
      </w:r>
      <w:r>
        <w:t xml:space="preserve"> Indeed, patent challengers might reasonably argue that they have a </w:t>
      </w:r>
      <w:r>
        <w:rPr>
          <w:i/>
        </w:rPr>
        <w:t>stronger</w:t>
      </w:r>
      <w:r>
        <w:t xml:space="preserve"> claim to choose the forum, given that Congress has created post-issuance proceedings for the express purpose of providing an alternative to litigation.  </w:t>
      </w:r>
      <w:r>
        <w:rPr>
          <w:i/>
        </w:rPr>
        <w:t>See infra</w:t>
      </w:r>
      <w:r>
        <w:t xml:space="preserve"> Part I.A.</w:t>
      </w:r>
    </w:p>
  </w:footnote>
  <w:footnote w:id="337">
    <w:p w14:paraId="6D04DC2A" w14:textId="77777777" w:rsidR="0012014D" w:rsidRDefault="0012014D" w:rsidP="00DC2610">
      <w:pPr>
        <w:pStyle w:val="FootnoteText"/>
      </w:pPr>
      <w:r>
        <w:rPr>
          <w:rStyle w:val="FootnoteReference"/>
        </w:rPr>
        <w:footnoteRef/>
      </w:r>
      <w:r>
        <w:t xml:space="preserve"> </w:t>
      </w:r>
      <w:r>
        <w:rPr>
          <w:i/>
        </w:rPr>
        <w:t>See, e.g.</w:t>
      </w:r>
      <w:r>
        <w:t xml:space="preserve">, Va. Innovation Sci., Inc. v. Samsung </w:t>
      </w:r>
      <w:proofErr w:type="spellStart"/>
      <w:r>
        <w:t>Elecs</w:t>
      </w:r>
      <w:proofErr w:type="spellEnd"/>
      <w:r>
        <w:t xml:space="preserve">. Co., </w:t>
      </w:r>
      <w:r w:rsidRPr="00361D51">
        <w:t xml:space="preserve">983 F. Supp. 2d 713, </w:t>
      </w:r>
      <w:r>
        <w:t>766</w:t>
      </w:r>
      <w:r w:rsidRPr="00361D51">
        <w:t xml:space="preserve"> (E.D. Va. 2014)</w:t>
      </w:r>
      <w:r>
        <w:t xml:space="preserve">, </w:t>
      </w:r>
      <w:r>
        <w:rPr>
          <w:i/>
        </w:rPr>
        <w:t>vacated on other grounds</w:t>
      </w:r>
      <w:r>
        <w:t>, No. 2014-1477, 2015 WL 3555700 (Fed. Cir. June 9, 2015).</w:t>
      </w:r>
    </w:p>
  </w:footnote>
  <w:footnote w:id="338">
    <w:p w14:paraId="3997122A" w14:textId="4A0BA96C" w:rsidR="0012014D" w:rsidRPr="00DC2A9D" w:rsidRDefault="0012014D" w:rsidP="00DC2A9D">
      <w:pPr>
        <w:pStyle w:val="FootnoteText"/>
      </w:pPr>
      <w:r>
        <w:rPr>
          <w:rStyle w:val="FootnoteReference"/>
        </w:rPr>
        <w:footnoteRef/>
      </w:r>
      <w:r>
        <w:t xml:space="preserve"> </w:t>
      </w:r>
      <w:r>
        <w:rPr>
          <w:i/>
        </w:rPr>
        <w:t xml:space="preserve">See </w:t>
      </w:r>
      <w:r>
        <w:t xml:space="preserve">28 U.S.C. § 1961 (providing for </w:t>
      </w:r>
      <w:proofErr w:type="spellStart"/>
      <w:r>
        <w:t>postjudgment</w:t>
      </w:r>
      <w:proofErr w:type="spellEnd"/>
      <w:r>
        <w:t xml:space="preserve"> interest at a rate equivalent to the yield on one-year U.S. Treasury bonds, which is currently less than one percent annually); Apple, Inc. v. Samsung </w:t>
      </w:r>
      <w:proofErr w:type="spellStart"/>
      <w:r>
        <w:t>Elecs</w:t>
      </w:r>
      <w:proofErr w:type="spellEnd"/>
      <w:r>
        <w:t>. Co., 67 F. Supp. 3d 1100, 1121-22 (N.D. Cal. 2014) (noting that “[t]he rate of prejudgment interest [in a patent case] is left to the wide discretion of this Court” and awarding interest at the one-year Treasury bond rate, noting that that rate “h</w:t>
      </w:r>
      <w:r w:rsidRPr="00050DE6">
        <w:t>as been accepted and employed by many courts in patent cases</w:t>
      </w:r>
      <w:r>
        <w:t xml:space="preserve">”).  </w:t>
      </w:r>
    </w:p>
  </w:footnote>
  <w:footnote w:id="339">
    <w:p w14:paraId="11FBFF7A" w14:textId="6C42533D" w:rsidR="0012014D" w:rsidRPr="00EB5932" w:rsidRDefault="0012014D">
      <w:pPr>
        <w:pStyle w:val="FootnoteText"/>
      </w:pPr>
      <w:r>
        <w:rPr>
          <w:rStyle w:val="FootnoteReference"/>
        </w:rPr>
        <w:footnoteRef/>
      </w:r>
      <w:r>
        <w:t xml:space="preserve"> </w:t>
      </w:r>
      <w:r>
        <w:rPr>
          <w:i/>
        </w:rPr>
        <w:t>See supra</w:t>
      </w:r>
      <w:r>
        <w:t xml:space="preserve"> Part II.B.2.</w:t>
      </w:r>
    </w:p>
  </w:footnote>
  <w:footnote w:id="340">
    <w:p w14:paraId="73162620" w14:textId="20117DF3" w:rsidR="0012014D" w:rsidRPr="00EB5932" w:rsidRDefault="0012014D">
      <w:pPr>
        <w:pStyle w:val="FootnoteText"/>
      </w:pPr>
      <w:r>
        <w:rPr>
          <w:rStyle w:val="FootnoteReference"/>
        </w:rPr>
        <w:footnoteRef/>
      </w:r>
      <w:r>
        <w:t xml:space="preserve"> </w:t>
      </w:r>
      <w:r>
        <w:rPr>
          <w:i/>
        </w:rPr>
        <w:t>See supra</w:t>
      </w:r>
      <w:r>
        <w:t xml:space="preserve"> Part II.B.1.</w:t>
      </w:r>
    </w:p>
  </w:footnote>
  <w:footnote w:id="341">
    <w:p w14:paraId="6AFC133F" w14:textId="255F7AB7" w:rsidR="0012014D" w:rsidRDefault="0012014D" w:rsidP="00EF4192">
      <w:pPr>
        <w:pStyle w:val="FootnoteText"/>
      </w:pPr>
      <w:r>
        <w:rPr>
          <w:rStyle w:val="FootnoteReference"/>
        </w:rPr>
        <w:footnoteRef/>
      </w:r>
      <w:r>
        <w:t xml:space="preserve"> The Federal Circuit could </w:t>
      </w:r>
      <w:r w:rsidR="00E42459">
        <w:t>also</w:t>
      </w:r>
      <w:r>
        <w:t xml:space="preserve"> reduce the possibility of conflicting decisions by making various changes to its administrative law doctrine.  For instance, the Federal Circuit could require the PTO to defer, as a matter of stare decisis, to the Federal Circuit’s prior decisions on purely legal issues relevant to the determination of patent validity, such as the ultimate conclusion on obviousness.  </w:t>
      </w:r>
      <w:r>
        <w:rPr>
          <w:i/>
        </w:rPr>
        <w:t xml:space="preserve">See </w:t>
      </w:r>
      <w:r>
        <w:t xml:space="preserve">Janicke, </w:t>
      </w:r>
      <w:r w:rsidRPr="00156E06">
        <w:rPr>
          <w:i/>
        </w:rPr>
        <w:t>supra</w:t>
      </w:r>
      <w:r>
        <w:t xml:space="preserve"> note </w:t>
      </w:r>
      <w:r>
        <w:fldChar w:fldCharType="begin"/>
      </w:r>
      <w:r>
        <w:instrText xml:space="preserve"> NOTEREF _Ref428525047 \h </w:instrText>
      </w:r>
      <w:r>
        <w:fldChar w:fldCharType="separate"/>
      </w:r>
      <w:r w:rsidR="00EF4990">
        <w:t>139</w:t>
      </w:r>
      <w:r>
        <w:fldChar w:fldCharType="end"/>
      </w:r>
      <w:r>
        <w:t xml:space="preserve">, at 61; </w:t>
      </w:r>
      <w:r>
        <w:rPr>
          <w:i/>
        </w:rPr>
        <w:t xml:space="preserve">see also </w:t>
      </w:r>
      <w:r w:rsidRPr="00156E06">
        <w:t>KSR Int’l Co. v. Teleflex Inc.,</w:t>
      </w:r>
      <w:r w:rsidRPr="00156E06">
        <w:rPr>
          <w:i/>
        </w:rPr>
        <w:t xml:space="preserve"> </w:t>
      </w:r>
      <w:r w:rsidRPr="00156E06">
        <w:t>550</w:t>
      </w:r>
      <w:r>
        <w:t xml:space="preserve"> U.S. 398, 427</w:t>
      </w:r>
      <w:r w:rsidRPr="00156E06">
        <w:rPr>
          <w:i/>
        </w:rPr>
        <w:t xml:space="preserve"> </w:t>
      </w:r>
      <w:r w:rsidRPr="00156E06">
        <w:t>(2007)</w:t>
      </w:r>
      <w:r>
        <w:t xml:space="preserve"> (“</w:t>
      </w:r>
      <w:r w:rsidRPr="00156E06">
        <w:t>The ultimate judgment of obviousness is a legal determination.</w:t>
      </w:r>
      <w:r>
        <w:t>”)</w:t>
      </w:r>
      <w:r w:rsidRPr="00156E06">
        <w:t>.</w:t>
      </w:r>
      <w:r>
        <w:t xml:space="preserve">  That proposal makes sense when there is an identical record of prior art before the court and the PTO.  In that situation, both tribunals are deciding the exact same legal question.  </w:t>
      </w:r>
      <w:r>
        <w:rPr>
          <w:i/>
        </w:rPr>
        <w:t xml:space="preserve">See generally </w:t>
      </w:r>
      <w:r w:rsidRPr="00EF4192">
        <w:t>Stevenson v. Sears, Roebuck &amp; Co., 713 F.2d 705, 711</w:t>
      </w:r>
      <w:r>
        <w:t xml:space="preserve"> n.5</w:t>
      </w:r>
      <w:r w:rsidRPr="00EF4192">
        <w:t xml:space="preserve"> (Fed. Cir. 1983)</w:t>
      </w:r>
      <w:r>
        <w:t xml:space="preserve"> (noting that, in sequential suits for patent infringement, “[t]</w:t>
      </w:r>
      <w:r w:rsidRPr="00EF4192">
        <w:t>he w</w:t>
      </w:r>
      <w:r>
        <w:t>eight given a prior holding of ‘validity’</w:t>
      </w:r>
      <w:r w:rsidRPr="00EF4192">
        <w:t xml:space="preserve"> will vary depending on the additional prior art or other evidence on patentability that is produced in the subsequent suit</w:t>
      </w:r>
      <w:r>
        <w:t xml:space="preserve">” and that “[i]f . . . </w:t>
      </w:r>
      <w:r w:rsidRPr="00EF4192">
        <w:t>the record in the second suit is substantively identical to the record produced in the first suit, then it is extremely likely that the court will give its prior holding stare decisis effect</w:t>
      </w:r>
      <w:r>
        <w:t>”)</w:t>
      </w:r>
      <w:r w:rsidRPr="00EF4192">
        <w:t>.</w:t>
      </w:r>
      <w:r>
        <w:t xml:space="preserve">  Moreover, any differences in the standards of proof between the courts and the PTO should be irrelevant when the tribunals are resolving a pure question of law.  </w:t>
      </w:r>
      <w:r>
        <w:rPr>
          <w:i/>
        </w:rPr>
        <w:t xml:space="preserve">See </w:t>
      </w:r>
      <w:r>
        <w:t xml:space="preserve">Janicke, </w:t>
      </w:r>
      <w:r>
        <w:rPr>
          <w:i/>
        </w:rPr>
        <w:t>supra</w:t>
      </w:r>
      <w:r>
        <w:t xml:space="preserve"> note </w:t>
      </w:r>
      <w:r>
        <w:fldChar w:fldCharType="begin"/>
      </w:r>
      <w:r>
        <w:instrText xml:space="preserve"> NOTEREF _Ref428525047 \h </w:instrText>
      </w:r>
      <w:r>
        <w:fldChar w:fldCharType="separate"/>
      </w:r>
      <w:r w:rsidR="00EF4990">
        <w:t>139</w:t>
      </w:r>
      <w:r>
        <w:fldChar w:fldCharType="end"/>
      </w:r>
      <w:r>
        <w:t xml:space="preserve">, at 58 (citing Microsoft Corp. v. i4i Ltd., 131 S. Ct. 2238, 2253 (2011) (Breyer, J., concurring)).  However, in cases that end in conflicting decisions, such as </w:t>
      </w:r>
      <w:r>
        <w:rPr>
          <w:i/>
        </w:rPr>
        <w:t>Fresenius</w:t>
      </w:r>
      <w:r>
        <w:t xml:space="preserve">, the record before the court and the PTO often differs, </w:t>
      </w:r>
      <w:r>
        <w:rPr>
          <w:i/>
        </w:rPr>
        <w:t xml:space="preserve">see </w:t>
      </w:r>
      <w:r w:rsidRPr="001800CC">
        <w:rPr>
          <w:i/>
        </w:rPr>
        <w:t>In re</w:t>
      </w:r>
      <w:r>
        <w:t xml:space="preserve"> Baxter Int’l, Inc., 678 F.3d 1357, 1365 (Fed. Cir. 2012) (affirming the PTO’s invalidity decision in reexamination even though the Federal Circuit had previously rejected a validity challenge, noting that “</w:t>
      </w:r>
      <w:r w:rsidRPr="00335473">
        <w:t xml:space="preserve">the examiner based </w:t>
      </w:r>
      <w:r>
        <w:t>[the]</w:t>
      </w:r>
      <w:r w:rsidRPr="00335473">
        <w:t xml:space="preserve"> rejections on prior art references that were not squarely at issue during the trial on the invalidity issues</w:t>
      </w:r>
      <w:r>
        <w:t>”), which weakens the case for PTO deference to a prior court ruling as a matter of stare decisis.</w:t>
      </w:r>
    </w:p>
    <w:p w14:paraId="6336CB01" w14:textId="20DB617D" w:rsidR="0012014D" w:rsidRPr="00E079FB" w:rsidRDefault="0012014D" w:rsidP="00E079FB">
      <w:pPr>
        <w:pStyle w:val="FootnoteText"/>
      </w:pPr>
      <w:r>
        <w:t xml:space="preserve">Alternatively, the courts could invoke principles of administrative law to defer to the PTO’s resolution of the issue of patent validity.  As a general matter, deference to the agency would be appropriate if the PTO were given substantive rulemaking authority, which it does not currently have.  </w:t>
      </w:r>
      <w:r>
        <w:rPr>
          <w:i/>
        </w:rPr>
        <w:t xml:space="preserve">See </w:t>
      </w:r>
      <w:r>
        <w:t xml:space="preserve">Michael J. Burstein, </w:t>
      </w:r>
      <w:r w:rsidRPr="00E079FB">
        <w:rPr>
          <w:i/>
        </w:rPr>
        <w:t>Rules for Patents</w:t>
      </w:r>
      <w:r>
        <w:t xml:space="preserve">, 52 </w:t>
      </w:r>
      <w:r w:rsidRPr="00E079FB">
        <w:rPr>
          <w:smallCaps/>
        </w:rPr>
        <w:t>Wm. &amp; Mary L. Rev.</w:t>
      </w:r>
      <w:r>
        <w:t xml:space="preserve"> 1747, 1751 (2011).  Even in the absence of substantive rulemaking authority, some commentators have argued that court deference to the PTO is still appropriate due to the America Invents Act’s creation of relatively formal adjudication proceedings, such as inter </w:t>
      </w:r>
      <w:proofErr w:type="spellStart"/>
      <w:r>
        <w:t>partes</w:t>
      </w:r>
      <w:proofErr w:type="spellEnd"/>
      <w:r>
        <w:t xml:space="preserve"> review and post-grant review.  </w:t>
      </w:r>
      <w:r>
        <w:rPr>
          <w:i/>
        </w:rPr>
        <w:t xml:space="preserve">See </w:t>
      </w:r>
      <w:r>
        <w:t xml:space="preserve">Melissa F. Wasserman, </w:t>
      </w:r>
      <w:r w:rsidRPr="00E079FB">
        <w:rPr>
          <w:i/>
        </w:rPr>
        <w:t xml:space="preserve">The Changing Guard of Patent Law: </w:t>
      </w:r>
      <w:r>
        <w:rPr>
          <w:i/>
        </w:rPr>
        <w:t xml:space="preserve"> </w:t>
      </w:r>
      <w:r w:rsidRPr="00E079FB">
        <w:t>Chevron</w:t>
      </w:r>
      <w:r w:rsidRPr="00E079FB">
        <w:rPr>
          <w:i/>
        </w:rPr>
        <w:t xml:space="preserve"> Deference for the </w:t>
      </w:r>
      <w:r>
        <w:rPr>
          <w:i/>
        </w:rPr>
        <w:t>PTO</w:t>
      </w:r>
      <w:r>
        <w:t xml:space="preserve">, 54 </w:t>
      </w:r>
      <w:r w:rsidRPr="00E079FB">
        <w:rPr>
          <w:smallCaps/>
        </w:rPr>
        <w:t>Wm. &amp; Mary L. Rev.</w:t>
      </w:r>
      <w:r>
        <w:t xml:space="preserve"> 1959, 1966 (2013).  But even if court deference to the PTO is appropriate as a general matter, that does not necessarily resolve the issue that is the focus of this article:  What happens if, at the time the PTO enters a decision of patent invalidity, a court has </w:t>
      </w:r>
      <w:r w:rsidRPr="00E079FB">
        <w:rPr>
          <w:i/>
        </w:rPr>
        <w:t xml:space="preserve">already </w:t>
      </w:r>
      <w:r>
        <w:t>resolved the issue of validity in the patent holder’s favor?</w:t>
      </w:r>
    </w:p>
  </w:footnote>
  <w:footnote w:id="342">
    <w:p w14:paraId="155DA144" w14:textId="77777777" w:rsidR="0012014D" w:rsidRPr="006C2264" w:rsidRDefault="0012014D" w:rsidP="0085219E">
      <w:pPr>
        <w:pStyle w:val="FootnoteText"/>
      </w:pPr>
      <w:r>
        <w:rPr>
          <w:rStyle w:val="FootnoteReference"/>
        </w:rPr>
        <w:footnoteRef/>
      </w:r>
      <w:r>
        <w:t xml:space="preserve"> </w:t>
      </w:r>
      <w:r>
        <w:rPr>
          <w:i/>
        </w:rPr>
        <w:t xml:space="preserve">See generally </w:t>
      </w:r>
      <w:r>
        <w:t xml:space="preserve">Sherkow, </w:t>
      </w:r>
      <w:r>
        <w:rPr>
          <w:i/>
        </w:rPr>
        <w:t>supra</w:t>
      </w:r>
      <w:r>
        <w:t xml:space="preserve"> note </w:t>
      </w:r>
      <w:r>
        <w:fldChar w:fldCharType="begin"/>
      </w:r>
      <w:r>
        <w:instrText xml:space="preserve"> NOTEREF _Ref300405081 \h </w:instrText>
      </w:r>
      <w:r>
        <w:fldChar w:fldCharType="separate"/>
      </w:r>
      <w:r w:rsidR="00EF4990">
        <w:t>18</w:t>
      </w:r>
      <w:r>
        <w:fldChar w:fldCharType="end"/>
      </w:r>
      <w:r>
        <w:t>, at 267-68 (arguing that “[d]</w:t>
      </w:r>
      <w:proofErr w:type="spellStart"/>
      <w:r>
        <w:t>istrict</w:t>
      </w:r>
      <w:proofErr w:type="spellEnd"/>
      <w:r>
        <w:t xml:space="preserve"> courts should . . . take a nuanced, case-by-case approach to determining whether to grant litigants’ request for stays pending the outcome of [PTO] proceedings”).</w:t>
      </w:r>
    </w:p>
  </w:footnote>
  <w:footnote w:id="343">
    <w:p w14:paraId="3A7E8600" w14:textId="20730A5D" w:rsidR="0012014D" w:rsidRDefault="0012014D">
      <w:pPr>
        <w:pStyle w:val="FootnoteText"/>
      </w:pPr>
      <w:r>
        <w:rPr>
          <w:rStyle w:val="FootnoteReference"/>
        </w:rPr>
        <w:footnoteRef/>
      </w:r>
      <w:r>
        <w:t xml:space="preserve"> </w:t>
      </w:r>
      <w:r>
        <w:rPr>
          <w:i/>
        </w:rPr>
        <w:t xml:space="preserve">See </w:t>
      </w:r>
      <w:r>
        <w:t xml:space="preserve">Ethicon, Inc. v. </w:t>
      </w:r>
      <w:proofErr w:type="spellStart"/>
      <w:r>
        <w:t>Quigg</w:t>
      </w:r>
      <w:proofErr w:type="spellEnd"/>
      <w:r>
        <w:t xml:space="preserve">, 849 F.2d 1422, 1426-27 (Fed. Cir. 1988); </w:t>
      </w:r>
      <w:r>
        <w:rPr>
          <w:i/>
        </w:rPr>
        <w:t>see also infra</w:t>
      </w:r>
      <w:r>
        <w:t xml:space="preserve"> Part IV.A (discussing statutory deadlines for concluding post-issuance proceedings under the AIA).</w:t>
      </w:r>
    </w:p>
  </w:footnote>
  <w:footnote w:id="344">
    <w:p w14:paraId="35DF7C0D" w14:textId="63699FE6" w:rsidR="0012014D" w:rsidRPr="004E22FD" w:rsidRDefault="0012014D" w:rsidP="00483697">
      <w:pPr>
        <w:pStyle w:val="FootnoteText"/>
      </w:pPr>
      <w:r>
        <w:rPr>
          <w:rStyle w:val="FootnoteReference"/>
        </w:rPr>
        <w:footnoteRef/>
      </w:r>
      <w:r>
        <w:t xml:space="preserve"> </w:t>
      </w:r>
      <w:r>
        <w:rPr>
          <w:i/>
        </w:rPr>
        <w:t>See, e.g.</w:t>
      </w:r>
      <w:r>
        <w:t>,</w:t>
      </w:r>
      <w:r>
        <w:rPr>
          <w:i/>
        </w:rPr>
        <w:t xml:space="preserve"> </w:t>
      </w:r>
      <w:proofErr w:type="spellStart"/>
      <w:r>
        <w:t>PersonalWeb</w:t>
      </w:r>
      <w:proofErr w:type="spellEnd"/>
      <w:r>
        <w:t xml:space="preserve"> Techs., LLC v. Apple Inc., No. 4:14-CV-1683, 2014 WL 4757816, at *2 (N.D. Cal. Sept. 24, 2014).</w:t>
      </w:r>
    </w:p>
  </w:footnote>
  <w:footnote w:id="345">
    <w:p w14:paraId="59A6DE8E" w14:textId="2FE6565F" w:rsidR="0012014D" w:rsidRPr="00EC15ED" w:rsidRDefault="0012014D" w:rsidP="00483697">
      <w:pPr>
        <w:pStyle w:val="FootnoteText"/>
      </w:pPr>
      <w:r>
        <w:rPr>
          <w:rStyle w:val="FootnoteReference"/>
        </w:rPr>
        <w:footnoteRef/>
      </w:r>
      <w:r>
        <w:t xml:space="preserve"> </w:t>
      </w:r>
      <w:r>
        <w:rPr>
          <w:i/>
        </w:rPr>
        <w:t>See supra</w:t>
      </w:r>
      <w:r>
        <w:t xml:space="preserve"> note </w:t>
      </w:r>
      <w:r>
        <w:fldChar w:fldCharType="begin"/>
      </w:r>
      <w:r>
        <w:instrText xml:space="preserve"> NOTEREF _Ref300404903 \h </w:instrText>
      </w:r>
      <w:r>
        <w:fldChar w:fldCharType="separate"/>
      </w:r>
      <w:r w:rsidR="00EF4990">
        <w:t>90</w:t>
      </w:r>
      <w:r>
        <w:fldChar w:fldCharType="end"/>
      </w:r>
      <w:r>
        <w:t>.</w:t>
      </w:r>
    </w:p>
  </w:footnote>
  <w:footnote w:id="346">
    <w:p w14:paraId="351E8AB4" w14:textId="033B0B5E" w:rsidR="0012014D" w:rsidRDefault="0012014D">
      <w:pPr>
        <w:pStyle w:val="FootnoteText"/>
      </w:pPr>
      <w:r>
        <w:rPr>
          <w:rStyle w:val="FootnoteReference"/>
        </w:rPr>
        <w:footnoteRef/>
      </w:r>
      <w:r>
        <w:t xml:space="preserve"> </w:t>
      </w:r>
      <w:r w:rsidRPr="00B42AC1">
        <w:rPr>
          <w:i/>
        </w:rPr>
        <w:t>See, e.g.</w:t>
      </w:r>
      <w:r>
        <w:t>, Respondents’ Brief in Opposition to Petition for a Writ of Certiorari 30, Baxter Int’l, Inc. v. Fresenius USA, Inc., 134 S. Ct. 2295 (2014) [hereinafter Fresenius BIO].</w:t>
      </w:r>
    </w:p>
  </w:footnote>
  <w:footnote w:id="347">
    <w:p w14:paraId="61B7F6DA" w14:textId="5595E82B" w:rsidR="0012014D" w:rsidRPr="00AD7FDC" w:rsidRDefault="0012014D">
      <w:pPr>
        <w:pStyle w:val="FootnoteText"/>
      </w:pPr>
      <w:r>
        <w:rPr>
          <w:rStyle w:val="FootnoteReference"/>
        </w:rPr>
        <w:footnoteRef/>
      </w:r>
      <w:r>
        <w:t xml:space="preserve"> </w:t>
      </w:r>
      <w:r>
        <w:rPr>
          <w:i/>
        </w:rPr>
        <w:t xml:space="preserve">See </w:t>
      </w:r>
      <w:r>
        <w:t>35 U.S.C. §§ 316(a</w:t>
      </w:r>
      <w:proofErr w:type="gramStart"/>
      <w:r>
        <w:t>)(</w:t>
      </w:r>
      <w:proofErr w:type="gramEnd"/>
      <w:r>
        <w:t>11), 326(a)(11); 37 C.F.R. § 42.300(c).</w:t>
      </w:r>
    </w:p>
  </w:footnote>
  <w:footnote w:id="348">
    <w:p w14:paraId="193C6C8A" w14:textId="31308EDD" w:rsidR="0012014D" w:rsidRPr="00D5127E" w:rsidRDefault="0012014D">
      <w:pPr>
        <w:pStyle w:val="FootnoteText"/>
        <w:rPr>
          <w:i/>
        </w:rPr>
      </w:pPr>
      <w:r>
        <w:rPr>
          <w:rStyle w:val="FootnoteReference"/>
        </w:rPr>
        <w:footnoteRef/>
      </w:r>
      <w:r>
        <w:t xml:space="preserve"> On average, i</w:t>
      </w:r>
      <w:r w:rsidRPr="00D5127E">
        <w:t xml:space="preserve">nter </w:t>
      </w:r>
      <w:proofErr w:type="spellStart"/>
      <w:r w:rsidRPr="00D5127E">
        <w:t>partes</w:t>
      </w:r>
      <w:proofErr w:type="spellEnd"/>
      <w:r w:rsidRPr="00D5127E">
        <w:t xml:space="preserve"> review proceedings take about fifteen months, from the filing of the petition until the PTO’s final disposition</w:t>
      </w:r>
      <w:r>
        <w:t xml:space="preserve">.  Love &amp; </w:t>
      </w:r>
      <w:proofErr w:type="spellStart"/>
      <w:r>
        <w:t>Ambwani</w:t>
      </w:r>
      <w:proofErr w:type="spellEnd"/>
      <w:r>
        <w:t xml:space="preserve">, </w:t>
      </w:r>
      <w:r>
        <w:rPr>
          <w:i/>
        </w:rPr>
        <w:t>supra</w:t>
      </w:r>
      <w:r>
        <w:t xml:space="preserve"> note </w:t>
      </w:r>
      <w:r>
        <w:fldChar w:fldCharType="begin"/>
      </w:r>
      <w:r>
        <w:instrText xml:space="preserve"> NOTEREF _Ref300404077 \h </w:instrText>
      </w:r>
      <w:r>
        <w:fldChar w:fldCharType="separate"/>
      </w:r>
      <w:r w:rsidR="00EF4990">
        <w:t>6</w:t>
      </w:r>
      <w:r>
        <w:fldChar w:fldCharType="end"/>
      </w:r>
      <w:r>
        <w:t xml:space="preserve">, at 99.  Patent cases in federal district courts take, on average, approximately one year to resolve, but that figure is skewed downward by the large number of cases that settle early on.  </w:t>
      </w:r>
      <w:r>
        <w:rPr>
          <w:i/>
        </w:rPr>
        <w:t xml:space="preserve">See </w:t>
      </w:r>
      <w:r>
        <w:t xml:space="preserve">Mark A. </w:t>
      </w:r>
      <w:proofErr w:type="spellStart"/>
      <w:r>
        <w:t>Lemley</w:t>
      </w:r>
      <w:proofErr w:type="spellEnd"/>
      <w:r>
        <w:t xml:space="preserve">, </w:t>
      </w:r>
      <w:r>
        <w:rPr>
          <w:i/>
        </w:rPr>
        <w:t>Where to File Your Patent Case</w:t>
      </w:r>
      <w:r>
        <w:t xml:space="preserve">, 38 AIPLA Q.J. 1, 16, 19 (2010).  For cases that go to trial, the time from filing to trial varies greatly among the districts.  </w:t>
      </w:r>
      <w:r w:rsidRPr="00125353">
        <w:rPr>
          <w:i/>
        </w:rPr>
        <w:t>See id.</w:t>
      </w:r>
      <w:r>
        <w:t xml:space="preserve"> at 17-18 (reporting a time to trial of less than one year in the quickest districts, the Western District of Wisconsin and the Eastern District of Virginia, but a time to trial of over two years in the district with the largest number of patent cases, the Eastern District of Texas).</w:t>
      </w:r>
      <w:r w:rsidRPr="00125353">
        <w:rPr>
          <w:i/>
        </w:rPr>
        <w:t xml:space="preserve"> </w:t>
      </w:r>
    </w:p>
  </w:footnote>
  <w:footnote w:id="349">
    <w:p w14:paraId="771F77CB" w14:textId="27E5D6BD" w:rsidR="0012014D" w:rsidRDefault="0012014D">
      <w:pPr>
        <w:pStyle w:val="FootnoteText"/>
      </w:pPr>
      <w:r>
        <w:rPr>
          <w:rStyle w:val="FootnoteReference"/>
        </w:rPr>
        <w:footnoteRef/>
      </w:r>
      <w:r>
        <w:t xml:space="preserve"> 35 U.S.C. § 315(b).</w:t>
      </w:r>
    </w:p>
  </w:footnote>
  <w:footnote w:id="350">
    <w:p w14:paraId="57057982" w14:textId="6505FF7C" w:rsidR="0012014D" w:rsidRPr="00164E86" w:rsidRDefault="0012014D">
      <w:pPr>
        <w:pStyle w:val="FootnoteText"/>
      </w:pPr>
      <w:r>
        <w:rPr>
          <w:rStyle w:val="FootnoteReference"/>
        </w:rPr>
        <w:footnoteRef/>
      </w:r>
      <w:r>
        <w:t xml:space="preserve"> The only timing requirement is that the window for post-grant review must be closed.  37 C.F.R. § 42.303.  That usually occurs nine months after the patent issues.  </w:t>
      </w:r>
      <w:r>
        <w:rPr>
          <w:i/>
        </w:rPr>
        <w:t>See supra</w:t>
      </w:r>
      <w:r>
        <w:t xml:space="preserve"> note </w:t>
      </w:r>
      <w:r>
        <w:fldChar w:fldCharType="begin"/>
      </w:r>
      <w:r>
        <w:instrText xml:space="preserve"> NOTEREF _Ref300404008 \h </w:instrText>
      </w:r>
      <w:r>
        <w:fldChar w:fldCharType="separate"/>
      </w:r>
      <w:r w:rsidR="00EF4990">
        <w:t>66</w:t>
      </w:r>
      <w:r>
        <w:fldChar w:fldCharType="end"/>
      </w:r>
      <w:r>
        <w:t>.</w:t>
      </w:r>
    </w:p>
  </w:footnote>
  <w:footnote w:id="351">
    <w:p w14:paraId="1A8B8168" w14:textId="6599C925" w:rsidR="0012014D" w:rsidRPr="006650E4" w:rsidRDefault="0012014D">
      <w:pPr>
        <w:pStyle w:val="FootnoteText"/>
      </w:pPr>
      <w:r>
        <w:rPr>
          <w:rStyle w:val="FootnoteReference"/>
        </w:rPr>
        <w:footnoteRef/>
      </w:r>
      <w:r>
        <w:t xml:space="preserve"> A common scenario in which a non-defendant petitions for inter </w:t>
      </w:r>
      <w:proofErr w:type="spellStart"/>
      <w:r>
        <w:t>partes</w:t>
      </w:r>
      <w:proofErr w:type="spellEnd"/>
      <w:r>
        <w:t xml:space="preserve"> review is when a patent holder has sued the petitioner’s customers for using allegedly infringing technology manufactured by the petitioner.  </w:t>
      </w:r>
      <w:r>
        <w:rPr>
          <w:i/>
        </w:rPr>
        <w:t xml:space="preserve">See </w:t>
      </w:r>
      <w:r>
        <w:t xml:space="preserve">Brian J. Love, </w:t>
      </w:r>
      <w:r>
        <w:rPr>
          <w:i/>
        </w:rPr>
        <w:t xml:space="preserve">Inter </w:t>
      </w:r>
      <w:proofErr w:type="spellStart"/>
      <w:r>
        <w:rPr>
          <w:i/>
        </w:rPr>
        <w:t>Partes</w:t>
      </w:r>
      <w:proofErr w:type="spellEnd"/>
      <w:r>
        <w:rPr>
          <w:i/>
        </w:rPr>
        <w:t xml:space="preserve"> Review as a Shield for Technology Purchasers</w:t>
      </w:r>
      <w:r>
        <w:t xml:space="preserve">, 56 </w:t>
      </w:r>
      <w:r w:rsidRPr="006650E4">
        <w:rPr>
          <w:smallCaps/>
        </w:rPr>
        <w:t>B.C. L. Rev.</w:t>
      </w:r>
      <w:r>
        <w:t xml:space="preserve"> 1075, 1088 (2015)</w:t>
      </w:r>
      <w:r>
        <w:rPr>
          <w:i/>
        </w:rPr>
        <w:t xml:space="preserve"> </w:t>
      </w:r>
      <w:r>
        <w:t xml:space="preserve">(reporting that roughly fourteen percent of inter </w:t>
      </w:r>
      <w:proofErr w:type="spellStart"/>
      <w:r>
        <w:t>partes</w:t>
      </w:r>
      <w:proofErr w:type="spellEnd"/>
      <w:r>
        <w:t xml:space="preserve"> review petitions filed in the first eighteen months of the proceeding’s existence were filed by manufacturers with at least one customer facing a lawsuit, but also noting that only one-quarter of those petitions were filed by manufacturers who had not also been sued themselves).  Other non-defendants who have filed inter </w:t>
      </w:r>
      <w:proofErr w:type="spellStart"/>
      <w:r>
        <w:t>partes</w:t>
      </w:r>
      <w:proofErr w:type="spellEnd"/>
      <w:r>
        <w:t xml:space="preserve"> review petitions include industry groups, public interest organizations, and membership-based risk management firms, such as RPX and Unified Patents.  </w:t>
      </w:r>
      <w:r>
        <w:rPr>
          <w:i/>
        </w:rPr>
        <w:t>See id.</w:t>
      </w:r>
      <w:r>
        <w:t xml:space="preserve"> </w:t>
      </w:r>
      <w:proofErr w:type="gramStart"/>
      <w:r>
        <w:t>at</w:t>
      </w:r>
      <w:proofErr w:type="gramEnd"/>
      <w:r>
        <w:t xml:space="preserve"> 1094 n.59.</w:t>
      </w:r>
    </w:p>
  </w:footnote>
  <w:footnote w:id="352">
    <w:p w14:paraId="13478E92" w14:textId="77777777" w:rsidR="0012014D" w:rsidRDefault="0012014D" w:rsidP="0013636F">
      <w:pPr>
        <w:pStyle w:val="FootnoteText"/>
      </w:pPr>
      <w:r>
        <w:rPr>
          <w:rStyle w:val="FootnoteReference"/>
        </w:rPr>
        <w:footnoteRef/>
      </w:r>
      <w:r>
        <w:t xml:space="preserve"> </w:t>
      </w:r>
      <w:r w:rsidRPr="004801D2">
        <w:t xml:space="preserve">37 C.F.R. </w:t>
      </w:r>
      <w:r>
        <w:t>§</w:t>
      </w:r>
      <w:r w:rsidRPr="004801D2">
        <w:t>§ 42.107</w:t>
      </w:r>
      <w:r>
        <w:t xml:space="preserve">(b), </w:t>
      </w:r>
      <w:r w:rsidRPr="004801D2">
        <w:t>42.207</w:t>
      </w:r>
      <w:r>
        <w:t xml:space="preserve">(b), </w:t>
      </w:r>
      <w:r w:rsidRPr="004801D2">
        <w:t>42.300</w:t>
      </w:r>
      <w:r>
        <w:t>(a).</w:t>
      </w:r>
    </w:p>
  </w:footnote>
  <w:footnote w:id="353">
    <w:p w14:paraId="7A9F0249" w14:textId="58487094" w:rsidR="0012014D" w:rsidRDefault="0012014D">
      <w:pPr>
        <w:pStyle w:val="FootnoteText"/>
      </w:pPr>
      <w:r>
        <w:rPr>
          <w:rStyle w:val="FootnoteReference"/>
        </w:rPr>
        <w:footnoteRef/>
      </w:r>
      <w:r>
        <w:t xml:space="preserve"> 35 U.S.C. §§ 313, 323.  Under the statute, the PTAB, after receiving the patent owner’s response, has three months to decide whether the institute review.  </w:t>
      </w:r>
      <w:r>
        <w:rPr>
          <w:i/>
        </w:rPr>
        <w:t xml:space="preserve">Id. </w:t>
      </w:r>
      <w:r>
        <w:t>§§ 314(b), 324(c).</w:t>
      </w:r>
    </w:p>
  </w:footnote>
  <w:footnote w:id="354">
    <w:p w14:paraId="6960B5CE" w14:textId="7087ED8C" w:rsidR="0012014D" w:rsidRPr="00881652" w:rsidRDefault="0012014D">
      <w:pPr>
        <w:pStyle w:val="FootnoteText"/>
      </w:pPr>
      <w:r>
        <w:rPr>
          <w:rStyle w:val="FootnoteReference"/>
        </w:rPr>
        <w:footnoteRef/>
      </w:r>
      <w:r>
        <w:t xml:space="preserve"> </w:t>
      </w:r>
      <w:r>
        <w:rPr>
          <w:i/>
        </w:rPr>
        <w:t xml:space="preserve">Id. </w:t>
      </w:r>
      <w:r>
        <w:t>§§ 316(a</w:t>
      </w:r>
      <w:proofErr w:type="gramStart"/>
      <w:r>
        <w:t>)(</w:t>
      </w:r>
      <w:proofErr w:type="gramEnd"/>
      <w:r>
        <w:t xml:space="preserve">11), 326(a)(11); 37 C.F.R. § 42.300(c). </w:t>
      </w:r>
    </w:p>
  </w:footnote>
  <w:footnote w:id="355">
    <w:p w14:paraId="26BD842D" w14:textId="77777777" w:rsidR="0012014D" w:rsidRPr="00C032C9" w:rsidRDefault="0012014D" w:rsidP="002C2955">
      <w:pPr>
        <w:pStyle w:val="FootnoteText"/>
      </w:pPr>
      <w:r>
        <w:rPr>
          <w:rStyle w:val="FootnoteReference"/>
        </w:rPr>
        <w:footnoteRef/>
      </w:r>
      <w:r>
        <w:t xml:space="preserve"> </w:t>
      </w:r>
      <w:r>
        <w:rPr>
          <w:i/>
        </w:rPr>
        <w:t xml:space="preserve">See </w:t>
      </w:r>
      <w:r>
        <w:t xml:space="preserve">U.S. Court of Appeals for the Federal Circuit, </w:t>
      </w:r>
      <w:r w:rsidRPr="008C6198">
        <w:rPr>
          <w:i/>
        </w:rPr>
        <w:t>Median Time to Disposition in Cases Terminated After Hearing or Submission</w:t>
      </w:r>
      <w:r>
        <w:t xml:space="preserve">, </w:t>
      </w:r>
      <w:r w:rsidRPr="00C032C9">
        <w:t>http://www.cafc.uscourts.gov/images/stories/Statistics/</w:t>
      </w:r>
      <w:r>
        <w:t xml:space="preserve"> </w:t>
      </w:r>
      <w:r w:rsidRPr="00C032C9">
        <w:t>med%20disp%20time%20merits_table.pdf</w:t>
      </w:r>
      <w:r>
        <w:t xml:space="preserve"> (last visited July 22, 2015).</w:t>
      </w:r>
    </w:p>
  </w:footnote>
  <w:footnote w:id="356">
    <w:p w14:paraId="35C407BB" w14:textId="096C054D" w:rsidR="0012014D" w:rsidRPr="0050038F" w:rsidRDefault="0012014D">
      <w:pPr>
        <w:pStyle w:val="FootnoteText"/>
      </w:pPr>
      <w:r>
        <w:rPr>
          <w:rStyle w:val="FootnoteReference"/>
        </w:rPr>
        <w:footnoteRef/>
      </w:r>
      <w:r>
        <w:t xml:space="preserve"> See, for example, </w:t>
      </w:r>
      <w:proofErr w:type="spellStart"/>
      <w:r w:rsidRPr="0050038F">
        <w:t>Ultratec</w:t>
      </w:r>
      <w:proofErr w:type="spellEnd"/>
      <w:r w:rsidRPr="0050038F">
        <w:t xml:space="preserve">, Inc. v. Sorenson </w:t>
      </w:r>
      <w:proofErr w:type="spellStart"/>
      <w:r w:rsidRPr="0050038F">
        <w:t>Comm</w:t>
      </w:r>
      <w:r>
        <w:t>c’ns</w:t>
      </w:r>
      <w:proofErr w:type="spellEnd"/>
      <w:r w:rsidRPr="0050038F">
        <w:t>, Inc.</w:t>
      </w:r>
      <w:r>
        <w:t xml:space="preserve">, No. 13-CV-346, 2015 WL 2248437, at *2 (W.D. Wis. May 13, 2015), in which a jury returned a verdict in the patent holder’s favor five months before the PTAB invalidated several of the asserted patent claims in inter </w:t>
      </w:r>
      <w:proofErr w:type="spellStart"/>
      <w:r>
        <w:t>partes</w:t>
      </w:r>
      <w:proofErr w:type="spellEnd"/>
      <w:r>
        <w:t xml:space="preserve"> review.</w:t>
      </w:r>
    </w:p>
  </w:footnote>
  <w:footnote w:id="357">
    <w:p w14:paraId="208FB242" w14:textId="675F1850" w:rsidR="0012014D" w:rsidRPr="00321976" w:rsidRDefault="0012014D" w:rsidP="00C13A51">
      <w:pPr>
        <w:pStyle w:val="FootnoteText"/>
      </w:pPr>
      <w:r>
        <w:rPr>
          <w:rStyle w:val="FootnoteReference"/>
        </w:rPr>
        <w:footnoteRef/>
      </w:r>
      <w:r>
        <w:t xml:space="preserve"> </w:t>
      </w:r>
      <w:r>
        <w:rPr>
          <w:i/>
        </w:rPr>
        <w:t xml:space="preserve">See </w:t>
      </w:r>
      <w:r>
        <w:t xml:space="preserve">Fresenius BIO, </w:t>
      </w:r>
      <w:r>
        <w:rPr>
          <w:i/>
        </w:rPr>
        <w:t>supra</w:t>
      </w:r>
      <w:r>
        <w:t xml:space="preserve"> note </w:t>
      </w:r>
      <w:r>
        <w:fldChar w:fldCharType="begin"/>
      </w:r>
      <w:r>
        <w:instrText xml:space="preserve"> NOTEREF _Ref300404925 \h </w:instrText>
      </w:r>
      <w:r>
        <w:fldChar w:fldCharType="separate"/>
      </w:r>
      <w:r w:rsidR="00EF4990">
        <w:t>345</w:t>
      </w:r>
      <w:r>
        <w:fldChar w:fldCharType="end"/>
      </w:r>
      <w:r>
        <w:t>, at 30.</w:t>
      </w:r>
    </w:p>
  </w:footnote>
  <w:footnote w:id="358">
    <w:p w14:paraId="75BC7B92" w14:textId="69EABF1F" w:rsidR="0012014D" w:rsidRDefault="0012014D" w:rsidP="00CC0FCA">
      <w:pPr>
        <w:pStyle w:val="FootnoteText"/>
      </w:pPr>
      <w:r>
        <w:rPr>
          <w:rStyle w:val="FootnoteReference"/>
        </w:rPr>
        <w:footnoteRef/>
      </w:r>
      <w:r>
        <w:t xml:space="preserve"> </w:t>
      </w:r>
      <w:r>
        <w:rPr>
          <w:i/>
        </w:rPr>
        <w:t>See supra</w:t>
      </w:r>
      <w:r>
        <w:t xml:space="preserve"> Part I.B.</w:t>
      </w:r>
    </w:p>
  </w:footnote>
  <w:footnote w:id="359">
    <w:p w14:paraId="148EAE86" w14:textId="51747377" w:rsidR="0012014D" w:rsidRDefault="0012014D">
      <w:pPr>
        <w:pStyle w:val="FootnoteText"/>
      </w:pPr>
      <w:r>
        <w:rPr>
          <w:rStyle w:val="FootnoteReference"/>
        </w:rPr>
        <w:footnoteRef/>
      </w:r>
      <w:r>
        <w:t xml:space="preserve"> In 2014, the PTO received 343 requests for ex parte reexamination, which is down from a pre-AIA high of 787 in 2012.  </w:t>
      </w:r>
      <w:r w:rsidRPr="00BF6F6E">
        <w:rPr>
          <w:smallCaps/>
        </w:rPr>
        <w:t>Ex Parte Reexamination Filing Data</w:t>
      </w:r>
      <w:r>
        <w:rPr>
          <w:smallCaps/>
        </w:rPr>
        <w:t xml:space="preserve">, </w:t>
      </w:r>
      <w:r w:rsidRPr="00C958FF">
        <w:rPr>
          <w:i/>
        </w:rPr>
        <w:t>supra</w:t>
      </w:r>
      <w:r w:rsidRPr="00C958FF">
        <w:t xml:space="preserve"> note </w:t>
      </w:r>
      <w:r>
        <w:fldChar w:fldCharType="begin"/>
      </w:r>
      <w:r>
        <w:instrText xml:space="preserve"> NOTEREF _Ref300404028 \h </w:instrText>
      </w:r>
      <w:r>
        <w:fldChar w:fldCharType="separate"/>
      </w:r>
      <w:r w:rsidR="00EF4990">
        <w:t>48</w:t>
      </w:r>
      <w:r>
        <w:fldChar w:fldCharType="end"/>
      </w:r>
      <w:r w:rsidRPr="00C958FF">
        <w:t>, at 1</w:t>
      </w:r>
      <w:r>
        <w:t xml:space="preserve">.  </w:t>
      </w:r>
    </w:p>
  </w:footnote>
  <w:footnote w:id="360">
    <w:p w14:paraId="402734CD" w14:textId="004507F2" w:rsidR="0012014D" w:rsidRPr="000C7B57" w:rsidRDefault="0012014D" w:rsidP="00D66BC2">
      <w:pPr>
        <w:pStyle w:val="FootnoteText"/>
      </w:pPr>
      <w:r>
        <w:rPr>
          <w:rStyle w:val="FootnoteReference"/>
        </w:rPr>
        <w:footnoteRef/>
      </w:r>
      <w:r>
        <w:t xml:space="preserve"> </w:t>
      </w:r>
      <w:r>
        <w:rPr>
          <w:i/>
        </w:rPr>
        <w:t xml:space="preserve">See </w:t>
      </w:r>
      <w:r>
        <w:t>35 U.S.C.</w:t>
      </w:r>
      <w:r>
        <w:rPr>
          <w:i/>
        </w:rPr>
        <w:t xml:space="preserve"> </w:t>
      </w:r>
      <w:r>
        <w:t>§ 302.</w:t>
      </w:r>
    </w:p>
  </w:footnote>
  <w:footnote w:id="361">
    <w:p w14:paraId="1686D567" w14:textId="16E0E65C" w:rsidR="0012014D" w:rsidRPr="003007B7" w:rsidRDefault="0012014D" w:rsidP="003C65D2">
      <w:pPr>
        <w:pStyle w:val="FootnoteText"/>
      </w:pPr>
      <w:r>
        <w:rPr>
          <w:rStyle w:val="FootnoteReference"/>
        </w:rPr>
        <w:footnoteRef/>
      </w:r>
      <w:r>
        <w:t xml:space="preserve"> </w:t>
      </w:r>
      <w:r>
        <w:rPr>
          <w:i/>
        </w:rPr>
        <w:t>See supra</w:t>
      </w:r>
      <w:r>
        <w:t xml:space="preserve"> note </w:t>
      </w:r>
      <w:r>
        <w:fldChar w:fldCharType="begin"/>
      </w:r>
      <w:r>
        <w:instrText xml:space="preserve"> NOTEREF _Ref300591971 \h </w:instrText>
      </w:r>
      <w:r>
        <w:fldChar w:fldCharType="separate"/>
      </w:r>
      <w:r w:rsidR="00EF4990">
        <w:t>327</w:t>
      </w:r>
      <w:r>
        <w:fldChar w:fldCharType="end"/>
      </w:r>
      <w:r>
        <w:t>.</w:t>
      </w:r>
    </w:p>
  </w:footnote>
  <w:footnote w:id="362">
    <w:p w14:paraId="22199639" w14:textId="38BD1440" w:rsidR="0012014D" w:rsidRPr="00CE6EAC" w:rsidRDefault="0012014D">
      <w:pPr>
        <w:pStyle w:val="FootnoteText"/>
      </w:pPr>
      <w:r>
        <w:rPr>
          <w:rStyle w:val="FootnoteReference"/>
        </w:rPr>
        <w:footnoteRef/>
      </w:r>
      <w:r>
        <w:t xml:space="preserve"> </w:t>
      </w:r>
      <w:r>
        <w:rPr>
          <w:i/>
        </w:rPr>
        <w:t>See supra</w:t>
      </w:r>
      <w:r>
        <w:t xml:space="preserve"> notes </w:t>
      </w:r>
      <w:r>
        <w:fldChar w:fldCharType="begin"/>
      </w:r>
      <w:r>
        <w:instrText xml:space="preserve"> NOTEREF _Ref300500729 \h </w:instrText>
      </w:r>
      <w:r>
        <w:fldChar w:fldCharType="separate"/>
      </w:r>
      <w:r w:rsidR="00EF4990">
        <w:t>89</w:t>
      </w:r>
      <w:r>
        <w:fldChar w:fldCharType="end"/>
      </w:r>
      <w:r>
        <w:t>-</w:t>
      </w:r>
      <w:r>
        <w:fldChar w:fldCharType="begin"/>
      </w:r>
      <w:r>
        <w:instrText xml:space="preserve"> NOTEREF _Ref300500738 \h </w:instrText>
      </w:r>
      <w:r>
        <w:fldChar w:fldCharType="separate"/>
      </w:r>
      <w:r w:rsidR="00EF4990">
        <w:t>93</w:t>
      </w:r>
      <w:r>
        <w:fldChar w:fldCharType="end"/>
      </w:r>
      <w:r>
        <w:t xml:space="preserve"> and accompanying text.</w:t>
      </w:r>
    </w:p>
  </w:footnote>
  <w:footnote w:id="363">
    <w:p w14:paraId="16BD9C36" w14:textId="2B3C6A5E" w:rsidR="0012014D" w:rsidRDefault="0012014D">
      <w:pPr>
        <w:pStyle w:val="FootnoteText"/>
      </w:pPr>
      <w:r>
        <w:rPr>
          <w:rStyle w:val="FootnoteReference"/>
        </w:rPr>
        <w:footnoteRef/>
      </w:r>
      <w:r>
        <w:t xml:space="preserve"> The concept of staged adjudication is attracting increasing attention in the institutional design literature.  </w:t>
      </w:r>
      <w:r>
        <w:rPr>
          <w:i/>
        </w:rPr>
        <w:t>See, e.g.</w:t>
      </w:r>
      <w:r>
        <w:t xml:space="preserve">, Louis </w:t>
      </w:r>
      <w:proofErr w:type="spellStart"/>
      <w:r>
        <w:t>Kaplow</w:t>
      </w:r>
      <w:proofErr w:type="spellEnd"/>
      <w:r>
        <w:t xml:space="preserve">, </w:t>
      </w:r>
      <w:r>
        <w:rPr>
          <w:i/>
        </w:rPr>
        <w:t>Multistage Adjudication</w:t>
      </w:r>
      <w:r>
        <w:t xml:space="preserve">, 126 </w:t>
      </w:r>
      <w:proofErr w:type="spellStart"/>
      <w:r w:rsidRPr="009D37F7">
        <w:rPr>
          <w:smallCaps/>
        </w:rPr>
        <w:t>Harv</w:t>
      </w:r>
      <w:proofErr w:type="spellEnd"/>
      <w:r w:rsidRPr="009D37F7">
        <w:rPr>
          <w:smallCaps/>
        </w:rPr>
        <w:t>. L. Rev.</w:t>
      </w:r>
      <w:r>
        <w:t xml:space="preserve"> 1179, 1223-25 (2013); </w:t>
      </w:r>
      <w:r>
        <w:rPr>
          <w:i/>
        </w:rPr>
        <w:t xml:space="preserve">see also </w:t>
      </w:r>
      <w:r>
        <w:t xml:space="preserve">Greg Reilly, </w:t>
      </w:r>
      <w:r>
        <w:rPr>
          <w:i/>
        </w:rPr>
        <w:t>Linking Patent Reform and Civil Litigation Reform</w:t>
      </w:r>
      <w:r>
        <w:t xml:space="preserve">, 47 </w:t>
      </w:r>
      <w:r w:rsidRPr="009D37F7">
        <w:rPr>
          <w:smallCaps/>
        </w:rPr>
        <w:t>Loy. U. Chi. L.J.</w:t>
      </w:r>
      <w:r>
        <w:t xml:space="preserve"> (forthcoming 2015) (manuscript at 6), </w:t>
      </w:r>
      <w:r>
        <w:rPr>
          <w:i/>
        </w:rPr>
        <w:t>available at</w:t>
      </w:r>
      <w:r>
        <w:t xml:space="preserve"> </w:t>
      </w:r>
      <w:r w:rsidRPr="00E61EA8">
        <w:t>http://ssrn.com/abstract=2568443</w:t>
      </w:r>
      <w:r>
        <w:t xml:space="preserve"> (suggesting</w:t>
      </w:r>
      <w:r w:rsidRPr="00E61EA8">
        <w:t xml:space="preserve"> staged litigation as a means to reduce the costs</w:t>
      </w:r>
      <w:r>
        <w:t xml:space="preserve"> of discovery in patent cases).</w:t>
      </w:r>
    </w:p>
  </w:footnote>
  <w:footnote w:id="364">
    <w:p w14:paraId="15B26177" w14:textId="3992114A" w:rsidR="0012014D" w:rsidRPr="00126EC1" w:rsidRDefault="0012014D">
      <w:pPr>
        <w:pStyle w:val="FootnoteText"/>
      </w:pPr>
      <w:r>
        <w:rPr>
          <w:rStyle w:val="FootnoteReference"/>
        </w:rPr>
        <w:footnoteRef/>
      </w:r>
      <w:r>
        <w:t xml:space="preserve"> </w:t>
      </w:r>
      <w:r>
        <w:rPr>
          <w:i/>
        </w:rPr>
        <w:t xml:space="preserve">See </w:t>
      </w:r>
      <w:proofErr w:type="spellStart"/>
      <w:r>
        <w:t>Markman</w:t>
      </w:r>
      <w:proofErr w:type="spellEnd"/>
      <w:r>
        <w:t xml:space="preserve"> v. Westview Instruments, Inc., 517 U.S. 370, 377 (1996).</w:t>
      </w:r>
    </w:p>
  </w:footnote>
  <w:footnote w:id="365">
    <w:p w14:paraId="5F017DCD" w14:textId="520620A6" w:rsidR="0012014D" w:rsidRPr="00C17AC8" w:rsidRDefault="0012014D" w:rsidP="00F64F37">
      <w:pPr>
        <w:pStyle w:val="FootnoteText"/>
        <w:rPr>
          <w:i/>
        </w:rPr>
      </w:pPr>
      <w:r>
        <w:rPr>
          <w:rStyle w:val="FootnoteReference"/>
        </w:rPr>
        <w:footnoteRef/>
      </w:r>
      <w:r>
        <w:t xml:space="preserve"> Having the PTO decide validity issues first would make sense because one ruling of invalidity precludes all future enforcement efforts, as the Supreme Court held in </w:t>
      </w:r>
      <w:r>
        <w:rPr>
          <w:i/>
        </w:rPr>
        <w:t>Blonder-Tongue</w:t>
      </w:r>
      <w:r>
        <w:t xml:space="preserve">.  Thus, a ruling of invalidity is more valuable to the public than a ruling of </w:t>
      </w:r>
      <w:proofErr w:type="spellStart"/>
      <w:r>
        <w:t>noninfringement</w:t>
      </w:r>
      <w:proofErr w:type="spellEnd"/>
      <w:r>
        <w:t xml:space="preserve">, which would not preclude a future suit against a different defendant.  </w:t>
      </w:r>
      <w:r>
        <w:rPr>
          <w:i/>
        </w:rPr>
        <w:t xml:space="preserve">See </w:t>
      </w:r>
      <w:r w:rsidRPr="00C17AC8">
        <w:t xml:space="preserve">Megan M. La Belle, </w:t>
      </w:r>
      <w:r w:rsidRPr="00C17AC8">
        <w:rPr>
          <w:i/>
        </w:rPr>
        <w:t>Against Settlement of (Some) Patent Cases</w:t>
      </w:r>
      <w:r w:rsidRPr="00C17AC8">
        <w:t xml:space="preserve">, 67 </w:t>
      </w:r>
      <w:proofErr w:type="spellStart"/>
      <w:r w:rsidRPr="00C17AC8">
        <w:rPr>
          <w:smallCaps/>
        </w:rPr>
        <w:t>Vand</w:t>
      </w:r>
      <w:proofErr w:type="spellEnd"/>
      <w:r w:rsidRPr="00C17AC8">
        <w:rPr>
          <w:smallCaps/>
        </w:rPr>
        <w:t>. L. Rev.</w:t>
      </w:r>
      <w:r w:rsidRPr="00C17AC8">
        <w:t xml:space="preserve"> 375, 397</w:t>
      </w:r>
      <w:r>
        <w:t>-401</w:t>
      </w:r>
      <w:r w:rsidRPr="00C17AC8">
        <w:t xml:space="preserve"> (2014)</w:t>
      </w:r>
      <w:r>
        <w:t>.</w:t>
      </w:r>
      <w:r w:rsidRPr="007A683D">
        <w:t xml:space="preserve"> </w:t>
      </w:r>
      <w:r>
        <w:t xml:space="preserve"> For a proposal that the issues of validity and infringement be staged </w:t>
      </w:r>
      <w:r w:rsidRPr="009A2235">
        <w:rPr>
          <w:i/>
        </w:rPr>
        <w:t>within</w:t>
      </w:r>
      <w:r>
        <w:t xml:space="preserve"> district court litigation</w:t>
      </w:r>
      <w:r w:rsidRPr="002F3D26">
        <w:t xml:space="preserve"> </w:t>
      </w:r>
      <w:r>
        <w:t xml:space="preserve">to reduce accused infringers’ incentives to argue for </w:t>
      </w:r>
      <w:proofErr w:type="spellStart"/>
      <w:r>
        <w:t>noninfringement</w:t>
      </w:r>
      <w:proofErr w:type="spellEnd"/>
      <w:r>
        <w:t xml:space="preserve"> rather than invalidity, see Roger Allan Ford, </w:t>
      </w:r>
      <w:r w:rsidRPr="0005752E">
        <w:rPr>
          <w:i/>
        </w:rPr>
        <w:t xml:space="preserve">Patent Invalidity Versus </w:t>
      </w:r>
      <w:proofErr w:type="spellStart"/>
      <w:r w:rsidRPr="0005752E">
        <w:rPr>
          <w:i/>
        </w:rPr>
        <w:t>Noninfringement</w:t>
      </w:r>
      <w:proofErr w:type="spellEnd"/>
      <w:r>
        <w:t xml:space="preserve">, 99 </w:t>
      </w:r>
      <w:r w:rsidRPr="0005752E">
        <w:rPr>
          <w:smallCaps/>
        </w:rPr>
        <w:t>Cornell L. Rev.</w:t>
      </w:r>
      <w:r>
        <w:t xml:space="preserve"> 71, 119 (2013).</w:t>
      </w:r>
    </w:p>
  </w:footnote>
  <w:footnote w:id="366">
    <w:p w14:paraId="01ECDD09" w14:textId="77777777" w:rsidR="0012014D" w:rsidRPr="008D300A" w:rsidRDefault="0012014D" w:rsidP="00850E53">
      <w:pPr>
        <w:pStyle w:val="FootnoteText"/>
      </w:pPr>
      <w:r>
        <w:rPr>
          <w:rStyle w:val="FootnoteReference"/>
        </w:rPr>
        <w:footnoteRef/>
      </w:r>
      <w:r>
        <w:t xml:space="preserve"> </w:t>
      </w:r>
      <w:r>
        <w:rPr>
          <w:i/>
        </w:rPr>
        <w:t xml:space="preserve">See </w:t>
      </w:r>
      <w:r>
        <w:t xml:space="preserve">Arjun </w:t>
      </w:r>
      <w:proofErr w:type="spellStart"/>
      <w:r>
        <w:t>Rangarajan</w:t>
      </w:r>
      <w:proofErr w:type="spellEnd"/>
      <w:r>
        <w:t xml:space="preserve">, </w:t>
      </w:r>
      <w:r>
        <w:rPr>
          <w:i/>
        </w:rPr>
        <w:t>Towards a More Uniform Procedure for Patent Invalidation</w:t>
      </w:r>
      <w:r>
        <w:t xml:space="preserve">, </w:t>
      </w:r>
      <w:r w:rsidRPr="00336E1E">
        <w:rPr>
          <w:smallCaps/>
        </w:rPr>
        <w:t xml:space="preserve">95 J. Pat. &amp; </w:t>
      </w:r>
      <w:proofErr w:type="spellStart"/>
      <w:r w:rsidRPr="00336E1E">
        <w:rPr>
          <w:smallCaps/>
        </w:rPr>
        <w:t>Tradmark</w:t>
      </w:r>
      <w:proofErr w:type="spellEnd"/>
      <w:r w:rsidRPr="00336E1E">
        <w:rPr>
          <w:smallCaps/>
        </w:rPr>
        <w:t xml:space="preserve"> Off. </w:t>
      </w:r>
      <w:proofErr w:type="spellStart"/>
      <w:r w:rsidRPr="00336E1E">
        <w:rPr>
          <w:smallCaps/>
        </w:rPr>
        <w:t>Soc’y</w:t>
      </w:r>
      <w:proofErr w:type="spellEnd"/>
      <w:r>
        <w:t xml:space="preserve"> 375, 384 (2013); Amy J. </w:t>
      </w:r>
      <w:proofErr w:type="spellStart"/>
      <w:r>
        <w:t>Tindell</w:t>
      </w:r>
      <w:proofErr w:type="spellEnd"/>
      <w:r>
        <w:t xml:space="preserve">, </w:t>
      </w:r>
      <w:r>
        <w:rPr>
          <w:i/>
        </w:rPr>
        <w:t>Final Adjudication of Patent Validity in PTO Reexamination and Article III Courts:  Whose Job Is It Anyway</w:t>
      </w:r>
      <w:proofErr w:type="gramStart"/>
      <w:r>
        <w:rPr>
          <w:i/>
        </w:rPr>
        <w:t>?</w:t>
      </w:r>
      <w:r>
        <w:t>,</w:t>
      </w:r>
      <w:proofErr w:type="gramEnd"/>
      <w:r>
        <w:t xml:space="preserve"> 87 </w:t>
      </w:r>
      <w:r w:rsidRPr="00EB5E90">
        <w:rPr>
          <w:smallCaps/>
        </w:rPr>
        <w:t xml:space="preserve">J. Pat. &amp; Trademark Off. </w:t>
      </w:r>
      <w:proofErr w:type="spellStart"/>
      <w:r w:rsidRPr="00EB5E90">
        <w:rPr>
          <w:smallCaps/>
        </w:rPr>
        <w:t>Soc’y</w:t>
      </w:r>
      <w:proofErr w:type="spellEnd"/>
      <w:r>
        <w:t xml:space="preserve"> 787, 801 (2007).</w:t>
      </w:r>
    </w:p>
  </w:footnote>
  <w:footnote w:id="367">
    <w:p w14:paraId="76E847F5" w14:textId="77777777" w:rsidR="0012014D" w:rsidRPr="00D87D5E" w:rsidRDefault="0012014D" w:rsidP="00850E53">
      <w:pPr>
        <w:pStyle w:val="FootnoteText"/>
      </w:pPr>
      <w:r>
        <w:rPr>
          <w:rStyle w:val="FootnoteReference"/>
        </w:rPr>
        <w:footnoteRef/>
      </w:r>
      <w:r>
        <w:t xml:space="preserve"> </w:t>
      </w:r>
      <w:r>
        <w:rPr>
          <w:i/>
        </w:rPr>
        <w:t xml:space="preserve">See </w:t>
      </w:r>
      <w:r>
        <w:t xml:space="preserve">John F. Duffy, </w:t>
      </w:r>
      <w:r>
        <w:rPr>
          <w:i/>
        </w:rPr>
        <w:t>On Improving the Legal Process of Claim Interpretation:  Administrative Alternatives</w:t>
      </w:r>
      <w:r>
        <w:t xml:space="preserve">, 2 </w:t>
      </w:r>
      <w:r w:rsidRPr="009A0E5B">
        <w:rPr>
          <w:smallCaps/>
        </w:rPr>
        <w:t xml:space="preserve">Wash. U. J. L. &amp; Pub. </w:t>
      </w:r>
      <w:proofErr w:type="spellStart"/>
      <w:r w:rsidRPr="009A0E5B">
        <w:rPr>
          <w:smallCaps/>
        </w:rPr>
        <w:t>Pol’y</w:t>
      </w:r>
      <w:proofErr w:type="spellEnd"/>
      <w:r>
        <w:t xml:space="preserve"> 109, 145-48 (2000); </w:t>
      </w:r>
      <w:r>
        <w:rPr>
          <w:i/>
        </w:rPr>
        <w:t xml:space="preserve">see also </w:t>
      </w:r>
      <w:proofErr w:type="spellStart"/>
      <w:r>
        <w:t>Ilardi</w:t>
      </w:r>
      <w:proofErr w:type="spellEnd"/>
      <w:r>
        <w:t xml:space="preserve">, </w:t>
      </w:r>
      <w:r>
        <w:rPr>
          <w:i/>
        </w:rPr>
        <w:t>supra</w:t>
      </w:r>
      <w:r>
        <w:t xml:space="preserve"> note </w:t>
      </w:r>
      <w:r>
        <w:fldChar w:fldCharType="begin"/>
      </w:r>
      <w:r>
        <w:instrText xml:space="preserve"> NOTEREF _Ref428525047 \h </w:instrText>
      </w:r>
      <w:r>
        <w:fldChar w:fldCharType="separate"/>
      </w:r>
      <w:r w:rsidR="00EF4990">
        <w:t>139</w:t>
      </w:r>
      <w:r>
        <w:fldChar w:fldCharType="end"/>
      </w:r>
      <w:r>
        <w:t>, at 2242 (proposing, as a mechanism to avoid conflicting court and PTO decisions on patent validity, to use the primary jurisdiction doctrine to mandate that courts refer certain validity issues to the PTO).</w:t>
      </w:r>
    </w:p>
  </w:footnote>
  <w:footnote w:id="368">
    <w:p w14:paraId="4EF5B22E" w14:textId="6B7EB62B" w:rsidR="0012014D" w:rsidRPr="002A3ABA" w:rsidRDefault="0012014D" w:rsidP="002A3ABA">
      <w:pPr>
        <w:pStyle w:val="FootnoteText"/>
      </w:pPr>
      <w:r>
        <w:rPr>
          <w:rStyle w:val="FootnoteReference"/>
        </w:rPr>
        <w:footnoteRef/>
      </w:r>
      <w:r>
        <w:t xml:space="preserve"> </w:t>
      </w:r>
      <w:r>
        <w:rPr>
          <w:i/>
        </w:rPr>
        <w:t xml:space="preserve">See </w:t>
      </w:r>
      <w:r>
        <w:t xml:space="preserve">Patent Act of 1790, §§ 5-6, 1 Stat. 109, 111-12.  Shifting validity proceedings entirely to the PTO would also require Congress to eliminate the authority of the International Trade Commission to rule on patent validity, which seems unlikely to occur.  </w:t>
      </w:r>
      <w:r>
        <w:rPr>
          <w:i/>
        </w:rPr>
        <w:t xml:space="preserve">See </w:t>
      </w:r>
      <w:r>
        <w:t xml:space="preserve">Thomas F. Cotter, </w:t>
      </w:r>
      <w:r w:rsidRPr="002A3ABA">
        <w:rPr>
          <w:i/>
        </w:rPr>
        <w:t>The International Trade Commission:  Reform or Abolition</w:t>
      </w:r>
      <w:proofErr w:type="gramStart"/>
      <w:r w:rsidRPr="002A3ABA">
        <w:rPr>
          <w:i/>
        </w:rPr>
        <w:t>?</w:t>
      </w:r>
      <w:r>
        <w:t>,</w:t>
      </w:r>
      <w:proofErr w:type="gramEnd"/>
      <w:r>
        <w:t xml:space="preserve"> 98 </w:t>
      </w:r>
      <w:r w:rsidRPr="002A3ABA">
        <w:rPr>
          <w:smallCaps/>
        </w:rPr>
        <w:t>Cornell L. Rev. Online</w:t>
      </w:r>
      <w:r>
        <w:t xml:space="preserve"> 43, 53 (2013); </w:t>
      </w:r>
      <w:r>
        <w:rPr>
          <w:i/>
        </w:rPr>
        <w:t>see also supra</w:t>
      </w:r>
      <w:r>
        <w:t xml:space="preserve"> notes </w:t>
      </w:r>
      <w:r>
        <w:fldChar w:fldCharType="begin"/>
      </w:r>
      <w:r>
        <w:instrText xml:space="preserve"> NOTEREF _Ref300403952 \h </w:instrText>
      </w:r>
      <w:r>
        <w:fldChar w:fldCharType="separate"/>
      </w:r>
      <w:r w:rsidR="00EF4990">
        <w:t>30</w:t>
      </w:r>
      <w:r>
        <w:fldChar w:fldCharType="end"/>
      </w:r>
      <w:r>
        <w:t xml:space="preserve">, </w:t>
      </w:r>
      <w:r>
        <w:fldChar w:fldCharType="begin"/>
      </w:r>
      <w:r>
        <w:instrText xml:space="preserve"> NOTEREF _Ref306102253 \h </w:instrText>
      </w:r>
      <w:r>
        <w:fldChar w:fldCharType="separate"/>
      </w:r>
      <w:r w:rsidR="00EF4990">
        <w:t>40</w:t>
      </w:r>
      <w:r>
        <w:fldChar w:fldCharType="end"/>
      </w:r>
      <w:r>
        <w:t xml:space="preserve"> (discussing the ITC’s authority over patent disputes).</w:t>
      </w:r>
    </w:p>
  </w:footnote>
  <w:footnote w:id="369">
    <w:p w14:paraId="021F8AC6" w14:textId="77777777" w:rsidR="0012014D" w:rsidRPr="00540984" w:rsidRDefault="0012014D" w:rsidP="009A5AF0">
      <w:pPr>
        <w:pStyle w:val="FootnoteText"/>
      </w:pPr>
      <w:r>
        <w:rPr>
          <w:rStyle w:val="FootnoteReference"/>
        </w:rPr>
        <w:footnoteRef/>
      </w:r>
      <w:r>
        <w:t xml:space="preserve"> The PTO currently employs about 250 PTAB judges.  </w:t>
      </w:r>
      <w:r>
        <w:rPr>
          <w:i/>
        </w:rPr>
        <w:t>See</w:t>
      </w:r>
      <w:r>
        <w:t xml:space="preserve"> Ryan Davis, </w:t>
      </w:r>
      <w:r w:rsidRPr="00540984">
        <w:rPr>
          <w:i/>
        </w:rPr>
        <w:t>Dep</w:t>
      </w:r>
      <w:r>
        <w:rPr>
          <w:i/>
        </w:rPr>
        <w:t>arting PTAB Chief Judge Hailed f</w:t>
      </w:r>
      <w:r w:rsidRPr="00540984">
        <w:rPr>
          <w:i/>
        </w:rPr>
        <w:t>or Smooth AIA Launch</w:t>
      </w:r>
      <w:r>
        <w:t xml:space="preserve">, </w:t>
      </w:r>
      <w:r w:rsidRPr="00540984">
        <w:rPr>
          <w:smallCaps/>
        </w:rPr>
        <w:t>Law360</w:t>
      </w:r>
      <w:r>
        <w:t xml:space="preserve"> (May 19, 2015), </w:t>
      </w:r>
      <w:r w:rsidRPr="00540984">
        <w:t>http://www.law360.com/article</w:t>
      </w:r>
      <w:r>
        <w:t>s/657843.</w:t>
      </w:r>
    </w:p>
  </w:footnote>
  <w:footnote w:id="370">
    <w:p w14:paraId="0F1B7472" w14:textId="77777777" w:rsidR="0012014D" w:rsidRPr="00850E53" w:rsidRDefault="0012014D" w:rsidP="009A5AF0">
      <w:pPr>
        <w:pStyle w:val="FootnoteText"/>
      </w:pPr>
      <w:r>
        <w:rPr>
          <w:rStyle w:val="FootnoteReference"/>
        </w:rPr>
        <w:footnoteRef/>
      </w:r>
      <w:r>
        <w:t xml:space="preserve"> </w:t>
      </w:r>
      <w:r>
        <w:rPr>
          <w:i/>
        </w:rPr>
        <w:t>See supra</w:t>
      </w:r>
      <w:r>
        <w:t xml:space="preserve"> note </w:t>
      </w:r>
      <w:r>
        <w:fldChar w:fldCharType="begin"/>
      </w:r>
      <w:r>
        <w:instrText xml:space="preserve"> NOTEREF _Ref431230376 \h </w:instrText>
      </w:r>
      <w:r>
        <w:fldChar w:fldCharType="separate"/>
      </w:r>
      <w:r w:rsidR="00EF4990">
        <w:t>45</w:t>
      </w:r>
      <w:r>
        <w:fldChar w:fldCharType="end"/>
      </w:r>
      <w:r>
        <w:t>.</w:t>
      </w:r>
    </w:p>
  </w:footnote>
  <w:footnote w:id="371">
    <w:p w14:paraId="2B4EFAD5" w14:textId="77777777" w:rsidR="0012014D" w:rsidRDefault="0012014D" w:rsidP="009A5AF0">
      <w:pPr>
        <w:pStyle w:val="FootnoteText"/>
      </w:pPr>
      <w:r>
        <w:rPr>
          <w:rStyle w:val="FootnoteReference"/>
        </w:rPr>
        <w:footnoteRef/>
      </w:r>
      <w:r>
        <w:t xml:space="preserve"> </w:t>
      </w:r>
      <w:r w:rsidRPr="00B64D1C">
        <w:rPr>
          <w:i/>
        </w:rPr>
        <w:t>See</w:t>
      </w:r>
      <w:r>
        <w:t xml:space="preserve"> John M. Golden, </w:t>
      </w:r>
      <w:r>
        <w:rPr>
          <w:i/>
        </w:rPr>
        <w:t xml:space="preserve">Proliferating Patents and Patent Law’s “Cost Disease,” </w:t>
      </w:r>
      <w:r>
        <w:t xml:space="preserve">51 </w:t>
      </w:r>
      <w:proofErr w:type="spellStart"/>
      <w:r w:rsidRPr="0039674C">
        <w:rPr>
          <w:smallCaps/>
        </w:rPr>
        <w:t>Hous</w:t>
      </w:r>
      <w:proofErr w:type="spellEnd"/>
      <w:r w:rsidRPr="0039674C">
        <w:rPr>
          <w:smallCaps/>
        </w:rPr>
        <w:t>. L. Rev.</w:t>
      </w:r>
      <w:r>
        <w:t xml:space="preserve"> 455, 483 (2013).</w:t>
      </w:r>
    </w:p>
  </w:footnote>
  <w:footnote w:id="372">
    <w:p w14:paraId="44D06785" w14:textId="1DD9F20E" w:rsidR="0012014D" w:rsidRPr="001B5250" w:rsidRDefault="0012014D">
      <w:pPr>
        <w:pStyle w:val="FootnoteText"/>
      </w:pPr>
      <w:r>
        <w:rPr>
          <w:rStyle w:val="FootnoteReference"/>
        </w:rPr>
        <w:footnoteRef/>
      </w:r>
      <w:r>
        <w:t xml:space="preserve"> </w:t>
      </w:r>
      <w:r>
        <w:rPr>
          <w:i/>
        </w:rPr>
        <w:t xml:space="preserve">See </w:t>
      </w:r>
      <w:r>
        <w:t>35 U.S.C. §§ 315(e</w:t>
      </w:r>
      <w:proofErr w:type="gramStart"/>
      <w:r>
        <w:t>)(</w:t>
      </w:r>
      <w:proofErr w:type="gramEnd"/>
      <w:r>
        <w:t>2), 325(e)(2).</w:t>
      </w:r>
    </w:p>
  </w:footnote>
  <w:footnote w:id="373">
    <w:p w14:paraId="7759A11C" w14:textId="4ADF04A5" w:rsidR="0012014D" w:rsidRDefault="0012014D">
      <w:pPr>
        <w:pStyle w:val="FootnoteText"/>
      </w:pPr>
      <w:r>
        <w:rPr>
          <w:rStyle w:val="FootnoteReference"/>
        </w:rPr>
        <w:footnoteRef/>
      </w:r>
      <w:r>
        <w:t xml:space="preserve"> 35 U.S.C. § 301(e).  </w:t>
      </w:r>
    </w:p>
  </w:footnote>
  <w:footnote w:id="374">
    <w:p w14:paraId="6BA528B1" w14:textId="52102818" w:rsidR="0012014D" w:rsidRPr="005432A7" w:rsidRDefault="0012014D">
      <w:pPr>
        <w:pStyle w:val="FootnoteText"/>
      </w:pPr>
      <w:r>
        <w:rPr>
          <w:rStyle w:val="FootnoteReference"/>
        </w:rPr>
        <w:footnoteRef/>
      </w:r>
      <w:r>
        <w:t xml:space="preserve"> </w:t>
      </w:r>
      <w:r>
        <w:rPr>
          <w:i/>
        </w:rPr>
        <w:t>See supra</w:t>
      </w:r>
      <w:r>
        <w:t xml:space="preserve"> notes </w:t>
      </w:r>
      <w:r>
        <w:fldChar w:fldCharType="begin"/>
      </w:r>
      <w:r>
        <w:instrText xml:space="preserve"> NOTEREF _Ref303262805 \h </w:instrText>
      </w:r>
      <w:r>
        <w:fldChar w:fldCharType="separate"/>
      </w:r>
      <w:r w:rsidR="00EF4990">
        <w:t>41</w:t>
      </w:r>
      <w:r>
        <w:fldChar w:fldCharType="end"/>
      </w:r>
      <w:r>
        <w:t>-</w:t>
      </w:r>
      <w:r>
        <w:fldChar w:fldCharType="begin"/>
      </w:r>
      <w:r>
        <w:instrText xml:space="preserve"> NOTEREF _Ref300835528 \h </w:instrText>
      </w:r>
      <w:r>
        <w:fldChar w:fldCharType="separate"/>
      </w:r>
      <w:r w:rsidR="00EF4990">
        <w:t>42</w:t>
      </w:r>
      <w:r>
        <w:fldChar w:fldCharType="end"/>
      </w:r>
      <w:r>
        <w:t xml:space="preserve"> and accompanying text.</w:t>
      </w:r>
    </w:p>
  </w:footnote>
  <w:footnote w:id="375">
    <w:p w14:paraId="544F1F9A" w14:textId="77777777" w:rsidR="0012014D" w:rsidRDefault="0012014D" w:rsidP="00C85E5C">
      <w:pPr>
        <w:pStyle w:val="FootnoteText"/>
      </w:pPr>
      <w:r>
        <w:rPr>
          <w:rStyle w:val="FootnoteReference"/>
        </w:rPr>
        <w:footnoteRef/>
      </w:r>
      <w:r>
        <w:t xml:space="preserve"> </w:t>
      </w:r>
      <w:r>
        <w:rPr>
          <w:i/>
        </w:rPr>
        <w:t xml:space="preserve">See </w:t>
      </w:r>
      <w:proofErr w:type="spellStart"/>
      <w:r>
        <w:t>Dreyfuss</w:t>
      </w:r>
      <w:proofErr w:type="spellEnd"/>
      <w:r>
        <w:t xml:space="preserve">, </w:t>
      </w:r>
      <w:r>
        <w:rPr>
          <w:i/>
        </w:rPr>
        <w:t>supra</w:t>
      </w:r>
      <w:r>
        <w:t xml:space="preserve"> note </w:t>
      </w:r>
      <w:r>
        <w:fldChar w:fldCharType="begin"/>
      </w:r>
      <w:r>
        <w:instrText xml:space="preserve"> NOTEREF _Ref300405081 \h </w:instrText>
      </w:r>
      <w:r>
        <w:fldChar w:fldCharType="separate"/>
      </w:r>
      <w:r w:rsidR="00EF4990">
        <w:t>18</w:t>
      </w:r>
      <w:r>
        <w:fldChar w:fldCharType="end"/>
      </w:r>
      <w:r>
        <w:t>, at 40 (suggesting alignment of claim construction standards, arguing that “[a]</w:t>
      </w:r>
      <w:proofErr w:type="spellStart"/>
      <w:r>
        <w:t>llowing</w:t>
      </w:r>
      <w:proofErr w:type="spellEnd"/>
      <w:r>
        <w:t xml:space="preserve"> patent holders to rely on prior PTAB claim constructions in enforcement actions would streamline litigation and provide winning patent holders with greater repose”).</w:t>
      </w:r>
      <w:r w:rsidRPr="006D5B17">
        <w:t xml:space="preserve"> </w:t>
      </w:r>
      <w:r>
        <w:t xml:space="preserve"> </w:t>
      </w:r>
    </w:p>
  </w:footnote>
  <w:footnote w:id="376">
    <w:p w14:paraId="24020A7B" w14:textId="32B7251F" w:rsidR="0012014D" w:rsidRPr="00631AAD" w:rsidRDefault="0012014D">
      <w:pPr>
        <w:pStyle w:val="FootnoteText"/>
      </w:pPr>
      <w:r>
        <w:rPr>
          <w:rStyle w:val="FootnoteReference"/>
        </w:rPr>
        <w:footnoteRef/>
      </w:r>
      <w:r>
        <w:t xml:space="preserve"> </w:t>
      </w:r>
      <w:r>
        <w:rPr>
          <w:i/>
        </w:rPr>
        <w:t>See supra</w:t>
      </w:r>
      <w:r>
        <w:t xml:space="preserve"> notes </w:t>
      </w:r>
      <w:r>
        <w:fldChar w:fldCharType="begin"/>
      </w:r>
      <w:r>
        <w:instrText xml:space="preserve"> NOTEREF _Ref433824208 \h </w:instrText>
      </w:r>
      <w:r>
        <w:fldChar w:fldCharType="separate"/>
      </w:r>
      <w:r w:rsidR="00EF4990">
        <w:t>27</w:t>
      </w:r>
      <w:r>
        <w:fldChar w:fldCharType="end"/>
      </w:r>
      <w:r>
        <w:t>-</w:t>
      </w:r>
      <w:r>
        <w:fldChar w:fldCharType="begin"/>
      </w:r>
      <w:r>
        <w:instrText xml:space="preserve"> NOTEREF _Ref433824215 \h </w:instrText>
      </w:r>
      <w:r>
        <w:fldChar w:fldCharType="separate"/>
      </w:r>
      <w:r w:rsidR="00EF4990">
        <w:t>28</w:t>
      </w:r>
      <w:r>
        <w:fldChar w:fldCharType="end"/>
      </w:r>
      <w:r>
        <w:t xml:space="preserve"> and accompanying text.</w:t>
      </w:r>
    </w:p>
  </w:footnote>
  <w:footnote w:id="377">
    <w:p w14:paraId="47B2CEC5" w14:textId="2D1554DB" w:rsidR="0012014D" w:rsidRPr="009A2235" w:rsidRDefault="0012014D" w:rsidP="009A2235">
      <w:pPr>
        <w:pStyle w:val="FootnoteText"/>
      </w:pPr>
      <w:r>
        <w:rPr>
          <w:rStyle w:val="FootnoteReference"/>
        </w:rPr>
        <w:footnoteRef/>
      </w:r>
      <w:r>
        <w:t xml:space="preserve"> </w:t>
      </w:r>
      <w:r>
        <w:rPr>
          <w:i/>
        </w:rPr>
        <w:t>See</w:t>
      </w:r>
      <w:r>
        <w:t xml:space="preserve"> </w:t>
      </w:r>
      <w:r w:rsidRPr="00336E2C">
        <w:rPr>
          <w:i/>
        </w:rPr>
        <w:t>In re</w:t>
      </w:r>
      <w:r>
        <w:t xml:space="preserve"> </w:t>
      </w:r>
      <w:proofErr w:type="spellStart"/>
      <w:r>
        <w:t>Cuozzo</w:t>
      </w:r>
      <w:proofErr w:type="spellEnd"/>
      <w:r>
        <w:t xml:space="preserve"> Speed Techs., LLC, 793 F.3d 1297 (Fed. Cir. 2015) (denying rehearing en banc by a six-to-five vote).</w:t>
      </w:r>
    </w:p>
  </w:footnote>
  <w:footnote w:id="378">
    <w:p w14:paraId="6EDB9521" w14:textId="278E54DE" w:rsidR="0012014D" w:rsidRDefault="0012014D" w:rsidP="000735D0">
      <w:pPr>
        <w:pStyle w:val="FootnoteText"/>
      </w:pPr>
      <w:r>
        <w:rPr>
          <w:rStyle w:val="FootnoteReference"/>
        </w:rPr>
        <w:footnoteRef/>
      </w:r>
      <w:r>
        <w:t xml:space="preserve"> </w:t>
      </w:r>
      <w:r>
        <w:rPr>
          <w:i/>
        </w:rPr>
        <w:t xml:space="preserve">See </w:t>
      </w:r>
      <w:r>
        <w:t>Protecting American Talent and Entrepreneurship (PATENT) Act of 2015, S. 1137, 114th Cong. § 11(a)-(b); Innovation Act, H.R. 9, 114th Cong. § 9(b) (2015).</w:t>
      </w:r>
    </w:p>
  </w:footnote>
  <w:footnote w:id="379">
    <w:p w14:paraId="7E918A3D" w14:textId="6FB5EFC8" w:rsidR="0012014D" w:rsidRPr="009C7FCA" w:rsidRDefault="0012014D">
      <w:pPr>
        <w:pStyle w:val="FootnoteText"/>
      </w:pPr>
      <w:r>
        <w:rPr>
          <w:rStyle w:val="FootnoteReference"/>
        </w:rPr>
        <w:footnoteRef/>
      </w:r>
      <w:r>
        <w:t xml:space="preserve"> </w:t>
      </w:r>
      <w:r>
        <w:rPr>
          <w:i/>
        </w:rPr>
        <w:t xml:space="preserve">See supra </w:t>
      </w:r>
      <w:r>
        <w:t>Part I.A.</w:t>
      </w:r>
    </w:p>
  </w:footnote>
  <w:footnote w:id="380">
    <w:p w14:paraId="1C56AAD1" w14:textId="2E801002" w:rsidR="0012014D" w:rsidRPr="00CA2575" w:rsidRDefault="0012014D">
      <w:pPr>
        <w:pStyle w:val="FootnoteText"/>
      </w:pPr>
      <w:r>
        <w:rPr>
          <w:rStyle w:val="FootnoteReference"/>
        </w:rPr>
        <w:footnoteRef/>
      </w:r>
      <w:r>
        <w:t xml:space="preserve"> </w:t>
      </w:r>
      <w:r>
        <w:rPr>
          <w:i/>
        </w:rPr>
        <w:t xml:space="preserve">See </w:t>
      </w:r>
      <w:r w:rsidRPr="00221A4C">
        <w:rPr>
          <w:i/>
        </w:rPr>
        <w:t>supra</w:t>
      </w:r>
      <w:r w:rsidRPr="00221A4C">
        <w:t xml:space="preserve"> notes </w:t>
      </w:r>
      <w:r>
        <w:fldChar w:fldCharType="begin"/>
      </w:r>
      <w:r>
        <w:instrText xml:space="preserve"> NOTEREF _Ref303263203 \h </w:instrText>
      </w:r>
      <w:r>
        <w:fldChar w:fldCharType="separate"/>
      </w:r>
      <w:r w:rsidR="00EF4990">
        <w:t>113</w:t>
      </w:r>
      <w:r>
        <w:fldChar w:fldCharType="end"/>
      </w:r>
      <w:r>
        <w:t>-</w:t>
      </w:r>
      <w:r>
        <w:fldChar w:fldCharType="begin"/>
      </w:r>
      <w:r>
        <w:instrText xml:space="preserve"> NOTEREF _Ref303263211 \h </w:instrText>
      </w:r>
      <w:r>
        <w:fldChar w:fldCharType="separate"/>
      </w:r>
      <w:r w:rsidR="00EF4990">
        <w:t>114</w:t>
      </w:r>
      <w:r>
        <w:fldChar w:fldCharType="end"/>
      </w:r>
      <w:r w:rsidRPr="00221A4C">
        <w:t xml:space="preserve"> and accompanying text.</w:t>
      </w:r>
    </w:p>
  </w:footnote>
  <w:footnote w:id="381">
    <w:p w14:paraId="4CAC8622" w14:textId="4BD68F5E" w:rsidR="0012014D" w:rsidRDefault="0012014D">
      <w:pPr>
        <w:pStyle w:val="FootnoteText"/>
      </w:pPr>
      <w:r>
        <w:rPr>
          <w:rStyle w:val="FootnoteReference"/>
        </w:rPr>
        <w:footnoteRef/>
      </w:r>
      <w:r>
        <w:t xml:space="preserve"> </w:t>
      </w:r>
      <w:r w:rsidRPr="000735D0">
        <w:t>Support Technology and Research for Our Nation’s</w:t>
      </w:r>
      <w:r>
        <w:t xml:space="preserve"> </w:t>
      </w:r>
      <w:r w:rsidRPr="000735D0">
        <w:t>Growth</w:t>
      </w:r>
      <w:r>
        <w:t xml:space="preserve"> (STRONG)</w:t>
      </w:r>
      <w:r w:rsidRPr="000735D0">
        <w:t xml:space="preserve"> Patents Act of 2015</w:t>
      </w:r>
      <w:r>
        <w:t xml:space="preserve">, S. 632, 114th Cong. §§ 102-03. </w:t>
      </w:r>
    </w:p>
  </w:footnote>
  <w:footnote w:id="382">
    <w:p w14:paraId="0E8E4FC8" w14:textId="4699060C" w:rsidR="0012014D" w:rsidRDefault="0012014D" w:rsidP="0035331A">
      <w:pPr>
        <w:pStyle w:val="FootnoteText"/>
      </w:pPr>
      <w:r>
        <w:rPr>
          <w:rStyle w:val="FootnoteReference"/>
        </w:rPr>
        <w:footnoteRef/>
      </w:r>
      <w:r>
        <w:t xml:space="preserve"> </w:t>
      </w:r>
      <w:r>
        <w:rPr>
          <w:i/>
        </w:rPr>
        <w:t xml:space="preserve">See </w:t>
      </w:r>
      <w:r>
        <w:t xml:space="preserve">Stuart Minor Benjamin &amp; </w:t>
      </w:r>
      <w:proofErr w:type="spellStart"/>
      <w:r>
        <w:t>Arti</w:t>
      </w:r>
      <w:proofErr w:type="spellEnd"/>
      <w:r>
        <w:t xml:space="preserve"> K. Rai, </w:t>
      </w:r>
      <w:r>
        <w:rPr>
          <w:i/>
        </w:rPr>
        <w:t>Who’</w:t>
      </w:r>
      <w:r w:rsidRPr="00E31205">
        <w:rPr>
          <w:i/>
        </w:rPr>
        <w:t>s Afraid of the APA?  What the Patent System Can Learn from Administrative Law</w:t>
      </w:r>
      <w:r>
        <w:t xml:space="preserve">, 95 </w:t>
      </w:r>
      <w:r w:rsidRPr="00E31205">
        <w:rPr>
          <w:smallCaps/>
        </w:rPr>
        <w:t xml:space="preserve">Geo. L.J. </w:t>
      </w:r>
      <w:r>
        <w:t>269, 281-82 (2007).</w:t>
      </w:r>
    </w:p>
  </w:footnote>
  <w:footnote w:id="383">
    <w:p w14:paraId="4711A5FE" w14:textId="77FB7218" w:rsidR="0012014D" w:rsidRDefault="0012014D">
      <w:pPr>
        <w:pStyle w:val="FootnoteText"/>
      </w:pPr>
      <w:r>
        <w:rPr>
          <w:rStyle w:val="FootnoteReference"/>
        </w:rPr>
        <w:footnoteRef/>
      </w:r>
      <w:r>
        <w:t xml:space="preserve"> In any case, the pending bill, which proposes many other controversial reforms to the patent system, is backed by several Democratic senators and is therefore unlikely to gain traction in the current Congress.    </w:t>
      </w:r>
    </w:p>
  </w:footnote>
  <w:footnote w:id="384">
    <w:p w14:paraId="6C3A847F" w14:textId="48393C33" w:rsidR="0012014D" w:rsidRDefault="0012014D" w:rsidP="001E044A">
      <w:pPr>
        <w:pStyle w:val="FootnoteText"/>
      </w:pPr>
      <w:r>
        <w:rPr>
          <w:rStyle w:val="FootnoteReference"/>
        </w:rPr>
        <w:footnoteRef/>
      </w:r>
      <w:r>
        <w:t xml:space="preserve"> </w:t>
      </w:r>
      <w:r>
        <w:rPr>
          <w:i/>
        </w:rPr>
        <w:t xml:space="preserve">See </w:t>
      </w:r>
      <w:r>
        <w:t xml:space="preserve">Doug </w:t>
      </w:r>
      <w:proofErr w:type="spellStart"/>
      <w:r>
        <w:t>Lichtman</w:t>
      </w:r>
      <w:proofErr w:type="spellEnd"/>
      <w:r>
        <w:t xml:space="preserve"> &amp; Mark A. </w:t>
      </w:r>
      <w:proofErr w:type="spellStart"/>
      <w:r>
        <w:t>Lemley</w:t>
      </w:r>
      <w:proofErr w:type="spellEnd"/>
      <w:r>
        <w:t xml:space="preserve">, </w:t>
      </w:r>
      <w:r w:rsidRPr="003A4537">
        <w:rPr>
          <w:i/>
        </w:rPr>
        <w:t>Rethinking Patent Law’s Presumption of Validity</w:t>
      </w:r>
      <w:r>
        <w:t xml:space="preserve">, 60 </w:t>
      </w:r>
      <w:r w:rsidRPr="003A4537">
        <w:rPr>
          <w:smallCaps/>
        </w:rPr>
        <w:t>Stan. L. Rev.</w:t>
      </w:r>
      <w:r>
        <w:t xml:space="preserve"> 45, 48 (2007).</w:t>
      </w:r>
    </w:p>
  </w:footnote>
  <w:footnote w:id="385">
    <w:p w14:paraId="4AA22EFD" w14:textId="7D8F436F" w:rsidR="0012014D" w:rsidRDefault="0012014D" w:rsidP="00315C2C">
      <w:pPr>
        <w:pStyle w:val="FootnoteText"/>
      </w:pPr>
      <w:r>
        <w:rPr>
          <w:rStyle w:val="FootnoteReference"/>
        </w:rPr>
        <w:footnoteRef/>
      </w:r>
      <w:r>
        <w:t xml:space="preserve"> </w:t>
      </w:r>
      <w:r>
        <w:rPr>
          <w:i/>
        </w:rPr>
        <w:t xml:space="preserve">See </w:t>
      </w:r>
      <w:r>
        <w:t xml:space="preserve">Mark A. </w:t>
      </w:r>
      <w:proofErr w:type="spellStart"/>
      <w:r>
        <w:t>Lemley</w:t>
      </w:r>
      <w:proofErr w:type="spellEnd"/>
      <w:r>
        <w:t xml:space="preserve">, </w:t>
      </w:r>
      <w:r w:rsidRPr="00315C2C">
        <w:rPr>
          <w:i/>
        </w:rPr>
        <w:t>Rational Ignorance at the Patent Office</w:t>
      </w:r>
      <w:r>
        <w:t xml:space="preserve">, 95 </w:t>
      </w:r>
      <w:r w:rsidRPr="00315C2C">
        <w:rPr>
          <w:smallCaps/>
        </w:rPr>
        <w:t>Nw. U. L. Rev.</w:t>
      </w:r>
      <w:r>
        <w:t xml:space="preserve"> 1495, 1500 (2001).</w:t>
      </w:r>
    </w:p>
  </w:footnote>
  <w:footnote w:id="386">
    <w:p w14:paraId="2EFDE328" w14:textId="5DC3AC21" w:rsidR="0012014D" w:rsidRDefault="0012014D" w:rsidP="00234D0C">
      <w:pPr>
        <w:pStyle w:val="FootnoteText"/>
      </w:pPr>
      <w:r>
        <w:rPr>
          <w:rStyle w:val="FootnoteReference"/>
        </w:rPr>
        <w:footnoteRef/>
      </w:r>
      <w:r>
        <w:t xml:space="preserve"> </w:t>
      </w:r>
      <w:r w:rsidRPr="00315C2C">
        <w:rPr>
          <w:i/>
        </w:rPr>
        <w:t>Cf.</w:t>
      </w:r>
      <w:r>
        <w:t xml:space="preserve"> United States v. Mead Corp., 533 U.S. 218, 228 (2001) (“‘</w:t>
      </w:r>
      <w:r w:rsidRPr="00315C2C">
        <w:t>The weight [accorded to an administrative] judgment in a particular case will depend upon the thoroughness evident in its consideration, the validity of its reasoning, its consistency with earlier and later pronouncements, and all those factors which give it power to persuade, if lacking power to control.</w:t>
      </w:r>
      <w:r>
        <w:t>’</w:t>
      </w:r>
      <w:r w:rsidRPr="00315C2C">
        <w:t>”</w:t>
      </w:r>
      <w:r>
        <w:t xml:space="preserve"> (</w:t>
      </w:r>
      <w:proofErr w:type="gramStart"/>
      <w:r>
        <w:t>quoting</w:t>
      </w:r>
      <w:proofErr w:type="gramEnd"/>
      <w:r>
        <w:t xml:space="preserve"> Skidmore v. Swift &amp; Co., 323 U.S. 134, 140 (1944) (alteration in original)).</w:t>
      </w:r>
    </w:p>
  </w:footnote>
  <w:footnote w:id="387">
    <w:p w14:paraId="2C099F76" w14:textId="331018FB" w:rsidR="0012014D" w:rsidRDefault="0012014D" w:rsidP="003A4537">
      <w:pPr>
        <w:pStyle w:val="FootnoteText"/>
      </w:pPr>
      <w:r>
        <w:rPr>
          <w:rStyle w:val="FootnoteReference"/>
        </w:rPr>
        <w:footnoteRef/>
      </w:r>
      <w:r>
        <w:t xml:space="preserve"> </w:t>
      </w:r>
      <w:r>
        <w:rPr>
          <w:i/>
        </w:rPr>
        <w:t xml:space="preserve">See </w:t>
      </w:r>
      <w:r>
        <w:t xml:space="preserve">Brief for the United States as Amicus Curiae 28, Microsoft Corp. v. i4i Ltd. </w:t>
      </w:r>
      <w:proofErr w:type="spellStart"/>
      <w:r>
        <w:t>P’ship</w:t>
      </w:r>
      <w:proofErr w:type="spellEnd"/>
      <w:r>
        <w:t>, 131 S. Ct. 2238 (2011).</w:t>
      </w:r>
    </w:p>
  </w:footnote>
  <w:footnote w:id="388">
    <w:p w14:paraId="6A323A83" w14:textId="25E17F6F" w:rsidR="0012014D" w:rsidRPr="00C56423" w:rsidRDefault="0012014D">
      <w:pPr>
        <w:pStyle w:val="FootnoteText"/>
      </w:pPr>
      <w:r>
        <w:rPr>
          <w:rStyle w:val="FootnoteReference"/>
        </w:rPr>
        <w:footnoteRef/>
      </w:r>
      <w:r>
        <w:t xml:space="preserve"> </w:t>
      </w:r>
      <w:r>
        <w:rPr>
          <w:i/>
        </w:rPr>
        <w:t>See, e.g.</w:t>
      </w:r>
      <w:r>
        <w:t xml:space="preserve">, </w:t>
      </w:r>
      <w:r w:rsidRPr="00E52976">
        <w:rPr>
          <w:smallCaps/>
        </w:rPr>
        <w:t>H.R. Rep. No.</w:t>
      </w:r>
      <w:r>
        <w:t xml:space="preserve"> 112-98, at 40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7D918" w14:textId="77777777" w:rsidR="0012014D" w:rsidRDefault="0012014D" w:rsidP="00196570">
    <w:pPr>
      <w:pStyle w:val="Header"/>
      <w:tabs>
        <w:tab w:val="clear" w:pos="4680"/>
        <w:tab w:val="center" w:pos="4050"/>
      </w:tabs>
      <w:jc w:val="right"/>
    </w:pPr>
  </w:p>
  <w:sdt>
    <w:sdtPr>
      <w:id w:val="280353611"/>
      <w:docPartObj>
        <w:docPartGallery w:val="Page Numbers (Top of Page)"/>
        <w:docPartUnique/>
      </w:docPartObj>
    </w:sdtPr>
    <w:sdtContent>
      <w:p w14:paraId="64904B14" w14:textId="7D9DEBD3" w:rsidR="0012014D" w:rsidRDefault="0012014D" w:rsidP="00196570">
        <w:pPr>
          <w:pStyle w:val="Header"/>
          <w:tabs>
            <w:tab w:val="clear" w:pos="4680"/>
            <w:tab w:val="clear" w:pos="9360"/>
            <w:tab w:val="center" w:pos="3960"/>
            <w:tab w:val="right" w:pos="7920"/>
          </w:tabs>
          <w:ind w:firstLine="0"/>
        </w:pPr>
        <w:r>
          <w:fldChar w:fldCharType="begin"/>
        </w:r>
        <w:r>
          <w:instrText xml:space="preserve"> PAGE   \* MERGEFORMAT </w:instrText>
        </w:r>
        <w:r>
          <w:fldChar w:fldCharType="separate"/>
        </w:r>
        <w:r w:rsidR="00EF4990">
          <w:rPr>
            <w:noProof/>
          </w:rPr>
          <w:t>2</w:t>
        </w:r>
        <w:r>
          <w:rPr>
            <w:noProof/>
          </w:rPr>
          <w:fldChar w:fldCharType="end"/>
        </w:r>
        <w:r>
          <w:rPr>
            <w:rFonts w:eastAsia="Calibri" w:cs="Times New Roman"/>
          </w:rPr>
          <w:tab/>
        </w:r>
        <w:r>
          <w:rPr>
            <w:i/>
          </w:rPr>
          <w:t>(In</w:t>
        </w:r>
        <w:proofErr w:type="gramStart"/>
        <w:r>
          <w:rPr>
            <w:i/>
          </w:rPr>
          <w:t>)valid</w:t>
        </w:r>
        <w:proofErr w:type="gramEnd"/>
        <w:r>
          <w:rPr>
            <w:i/>
          </w:rPr>
          <w:t xml:space="preserve"> Patents—DRAFT</w:t>
        </w:r>
        <w:r>
          <w:rPr>
            <w:i/>
          </w:rPr>
          <w:tab/>
        </w:r>
        <w:r>
          <w:t>[</w:t>
        </w:r>
        <w:r>
          <w:rPr>
            <w:rFonts w:eastAsia="Calibri" w:cs="Times New Roman"/>
          </w:rPr>
          <w:t>2015</w:t>
        </w:r>
      </w:p>
    </w:sdtContent>
  </w:sdt>
  <w:p w14:paraId="0E9D248C" w14:textId="77777777" w:rsidR="0012014D" w:rsidRDefault="0012014D" w:rsidP="005912BC">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353623"/>
      <w:docPartObj>
        <w:docPartGallery w:val="Page Numbers (Top of Page)"/>
        <w:docPartUnique/>
      </w:docPartObj>
    </w:sdtPr>
    <w:sdtContent>
      <w:p w14:paraId="4EC612EC" w14:textId="77777777" w:rsidR="0012014D" w:rsidRDefault="0012014D" w:rsidP="005912BC">
        <w:pPr>
          <w:pStyle w:val="Header"/>
          <w:tabs>
            <w:tab w:val="clear" w:pos="4680"/>
            <w:tab w:val="clear" w:pos="9360"/>
            <w:tab w:val="center" w:pos="4320"/>
            <w:tab w:val="right" w:pos="7920"/>
          </w:tabs>
          <w:ind w:firstLine="0"/>
        </w:pPr>
      </w:p>
      <w:p w14:paraId="1FD0CDCA" w14:textId="39DF7C27" w:rsidR="0012014D" w:rsidRDefault="0012014D" w:rsidP="00740FFB">
        <w:pPr>
          <w:pStyle w:val="Header"/>
          <w:tabs>
            <w:tab w:val="clear" w:pos="4680"/>
            <w:tab w:val="clear" w:pos="9360"/>
            <w:tab w:val="center" w:pos="3960"/>
            <w:tab w:val="right" w:pos="7920"/>
          </w:tabs>
          <w:ind w:firstLine="0"/>
        </w:pPr>
        <w:r>
          <w:rPr>
            <w:rFonts w:eastAsia="Calibri" w:cs="Times New Roman"/>
          </w:rPr>
          <w:t>2015</w:t>
        </w:r>
        <w:r w:rsidRPr="00772681">
          <w:rPr>
            <w:rFonts w:eastAsia="Calibri" w:cs="Times New Roman"/>
          </w:rPr>
          <w:t xml:space="preserve">] </w:t>
        </w:r>
        <w:r w:rsidRPr="00772681">
          <w:rPr>
            <w:rFonts w:eastAsia="Calibri" w:cs="Times New Roman"/>
          </w:rPr>
          <w:tab/>
        </w:r>
        <w:r>
          <w:rPr>
            <w:i/>
          </w:rPr>
          <w:t>(In</w:t>
        </w:r>
        <w:proofErr w:type="gramStart"/>
        <w:r>
          <w:rPr>
            <w:i/>
          </w:rPr>
          <w:t>)valid</w:t>
        </w:r>
        <w:proofErr w:type="gramEnd"/>
        <w:r>
          <w:rPr>
            <w:i/>
          </w:rPr>
          <w:t xml:space="preserve"> Patents—DRAFT</w:t>
        </w:r>
        <w:r>
          <w:rPr>
            <w:i/>
          </w:rPr>
          <w:tab/>
        </w:r>
        <w:r>
          <w:fldChar w:fldCharType="begin"/>
        </w:r>
        <w:r>
          <w:instrText xml:space="preserve"> PAGE   \* MERGEFORMAT </w:instrText>
        </w:r>
        <w:r>
          <w:fldChar w:fldCharType="separate"/>
        </w:r>
        <w:r w:rsidR="00EF4990">
          <w:rPr>
            <w:noProof/>
          </w:rPr>
          <w:t>3</w:t>
        </w:r>
        <w:r>
          <w:rPr>
            <w:noProof/>
          </w:rPr>
          <w:fldChar w:fldCharType="end"/>
        </w:r>
      </w:p>
    </w:sdtContent>
  </w:sdt>
  <w:p w14:paraId="287380FF" w14:textId="77777777" w:rsidR="0012014D" w:rsidRPr="005912BC" w:rsidRDefault="0012014D" w:rsidP="00591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867A1" w14:textId="1EF6F8C9" w:rsidR="0012014D" w:rsidRDefault="0012014D">
    <w:pPr>
      <w:pStyle w:val="Header"/>
    </w:pPr>
    <w:r>
      <w:rPr>
        <w:b/>
        <w:smallCaps/>
        <w:noProof/>
        <w:sz w:val="28"/>
        <w:szCs w:val="28"/>
      </w:rPr>
      <mc:AlternateContent>
        <mc:Choice Requires="wps">
          <w:drawing>
            <wp:anchor distT="0" distB="0" distL="114300" distR="114300" simplePos="0" relativeHeight="251659264" behindDoc="0" locked="0" layoutInCell="1" allowOverlap="1" wp14:anchorId="03B2FEBB" wp14:editId="6B1810CF">
              <wp:simplePos x="0" y="0"/>
              <wp:positionH relativeFrom="column">
                <wp:posOffset>4276725</wp:posOffset>
              </wp:positionH>
              <wp:positionV relativeFrom="paragraph">
                <wp:posOffset>-247650</wp:posOffset>
              </wp:positionV>
              <wp:extent cx="1866900" cy="571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66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94B9F3" w14:textId="7F6FC7DA" w:rsidR="0012014D" w:rsidRDefault="0012014D" w:rsidP="00B80D16">
                          <w:pPr>
                            <w:spacing w:after="0"/>
                            <w:ind w:firstLine="0"/>
                            <w:jc w:val="center"/>
                            <w:rPr>
                              <w:b/>
                              <w:i/>
                            </w:rPr>
                          </w:pPr>
                          <w:r w:rsidRPr="00AB34CD">
                            <w:rPr>
                              <w:b/>
                              <w:i/>
                            </w:rPr>
                            <w:t xml:space="preserve">DRAFT – </w:t>
                          </w:r>
                          <w:r>
                            <w:rPr>
                              <w:b/>
                              <w:i/>
                            </w:rPr>
                            <w:t>October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2FEBB" id="_x0000_t202" coordsize="21600,21600" o:spt="202" path="m,l,21600r21600,l21600,xe">
              <v:stroke joinstyle="miter"/>
              <v:path gradientshapeok="t" o:connecttype="rect"/>
            </v:shapetype>
            <v:shape id="Text Box 1" o:spid="_x0000_s1026" type="#_x0000_t202" style="position:absolute;left:0;text-align:left;margin-left:336.75pt;margin-top:-19.5pt;width:14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" filled="f" stroked="f">
              <v:textbox>
                <w:txbxContent>
                  <w:p w14:paraId="1794B9F3" w14:textId="7F6FC7DA" w:rsidR="0012014D" w:rsidRDefault="0012014D" w:rsidP="00B80D16">
                    <w:pPr>
                      <w:spacing w:after="0"/>
                      <w:ind w:firstLine="0"/>
                      <w:jc w:val="center"/>
                      <w:rPr>
                        <w:b/>
                        <w:i/>
                      </w:rPr>
                    </w:pPr>
                    <w:r w:rsidRPr="00AB34CD">
                      <w:rPr>
                        <w:b/>
                        <w:i/>
                      </w:rPr>
                      <w:t xml:space="preserve">DRAFT – </w:t>
                    </w:r>
                    <w:r>
                      <w:rPr>
                        <w:b/>
                        <w:i/>
                      </w:rPr>
                      <w:t>October 2015</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B3B"/>
    <w:multiLevelType w:val="hybridMultilevel"/>
    <w:tmpl w:val="E8B2B2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9C396F"/>
    <w:multiLevelType w:val="hybridMultilevel"/>
    <w:tmpl w:val="1542FA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537C64"/>
    <w:multiLevelType w:val="hybridMultilevel"/>
    <w:tmpl w:val="A34E9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54DB6"/>
    <w:multiLevelType w:val="hybridMultilevel"/>
    <w:tmpl w:val="05526C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1B1116"/>
    <w:multiLevelType w:val="hybridMultilevel"/>
    <w:tmpl w:val="52ECC2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3140E7"/>
    <w:multiLevelType w:val="hybridMultilevel"/>
    <w:tmpl w:val="D59421AC"/>
    <w:lvl w:ilvl="0" w:tplc="DD4C69C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6658"/>
    <w:multiLevelType w:val="hybridMultilevel"/>
    <w:tmpl w:val="14F0A8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1076EE"/>
    <w:multiLevelType w:val="hybridMultilevel"/>
    <w:tmpl w:val="C8FAAE2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26B0794E"/>
    <w:multiLevelType w:val="hybridMultilevel"/>
    <w:tmpl w:val="CCA67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BC194B"/>
    <w:multiLevelType w:val="hybridMultilevel"/>
    <w:tmpl w:val="2C7E54D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CA0212"/>
    <w:multiLevelType w:val="hybridMultilevel"/>
    <w:tmpl w:val="044AC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C33BB1"/>
    <w:multiLevelType w:val="hybridMultilevel"/>
    <w:tmpl w:val="4FC46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AF00C9"/>
    <w:multiLevelType w:val="hybridMultilevel"/>
    <w:tmpl w:val="7BA63358"/>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7072FA"/>
    <w:multiLevelType w:val="hybridMultilevel"/>
    <w:tmpl w:val="4E2A24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60727C"/>
    <w:multiLevelType w:val="hybridMultilevel"/>
    <w:tmpl w:val="AEDEE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8557E0"/>
    <w:multiLevelType w:val="hybridMultilevel"/>
    <w:tmpl w:val="F3F2272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A04462"/>
    <w:multiLevelType w:val="hybridMultilevel"/>
    <w:tmpl w:val="A13E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A33F0"/>
    <w:multiLevelType w:val="hybridMultilevel"/>
    <w:tmpl w:val="8B64E9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C34F0E"/>
    <w:multiLevelType w:val="hybridMultilevel"/>
    <w:tmpl w:val="B20CE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D059A"/>
    <w:multiLevelType w:val="hybridMultilevel"/>
    <w:tmpl w:val="37981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0B222D"/>
    <w:multiLevelType w:val="hybridMultilevel"/>
    <w:tmpl w:val="C45472B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B553926"/>
    <w:multiLevelType w:val="hybridMultilevel"/>
    <w:tmpl w:val="6374E9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E004FC"/>
    <w:multiLevelType w:val="hybridMultilevel"/>
    <w:tmpl w:val="F6F002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A02644"/>
    <w:multiLevelType w:val="hybridMultilevel"/>
    <w:tmpl w:val="91144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5E1276"/>
    <w:multiLevelType w:val="hybridMultilevel"/>
    <w:tmpl w:val="D6425C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0C28E2"/>
    <w:multiLevelType w:val="hybridMultilevel"/>
    <w:tmpl w:val="1CEE4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C84719"/>
    <w:multiLevelType w:val="hybridMultilevel"/>
    <w:tmpl w:val="8F3EBB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A73DFF"/>
    <w:multiLevelType w:val="hybridMultilevel"/>
    <w:tmpl w:val="670C9B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E74300"/>
    <w:multiLevelType w:val="hybridMultilevel"/>
    <w:tmpl w:val="17D80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84364"/>
    <w:multiLevelType w:val="hybridMultilevel"/>
    <w:tmpl w:val="EF8084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B71BB7"/>
    <w:multiLevelType w:val="hybridMultilevel"/>
    <w:tmpl w:val="8558F1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DF277A"/>
    <w:multiLevelType w:val="hybridMultilevel"/>
    <w:tmpl w:val="53A0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6806F0"/>
    <w:multiLevelType w:val="hybridMultilevel"/>
    <w:tmpl w:val="AA7C0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E74F68"/>
    <w:multiLevelType w:val="hybridMultilevel"/>
    <w:tmpl w:val="2452AE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4EE5A3D"/>
    <w:multiLevelType w:val="hybridMultilevel"/>
    <w:tmpl w:val="89F89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67390"/>
    <w:multiLevelType w:val="hybridMultilevel"/>
    <w:tmpl w:val="860035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AC54B7F"/>
    <w:multiLevelType w:val="hybridMultilevel"/>
    <w:tmpl w:val="1B26C01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E853DC3"/>
    <w:multiLevelType w:val="hybridMultilevel"/>
    <w:tmpl w:val="62E2D876"/>
    <w:lvl w:ilvl="0" w:tplc="04090003">
      <w:start w:val="1"/>
      <w:numFmt w:val="bullet"/>
      <w:lvlText w:val="o"/>
      <w:lvlJc w:val="left"/>
      <w:pPr>
        <w:ind w:left="5400" w:hanging="360"/>
      </w:pPr>
      <w:rPr>
        <w:rFonts w:ascii="Courier New" w:hAnsi="Courier New" w:cs="Courier New"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8" w15:restartNumberingAfterBreak="0">
    <w:nsid w:val="6FC76C42"/>
    <w:multiLevelType w:val="hybridMultilevel"/>
    <w:tmpl w:val="0D9C7D6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9756D"/>
    <w:multiLevelType w:val="hybridMultilevel"/>
    <w:tmpl w:val="74101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527B2C"/>
    <w:multiLevelType w:val="hybridMultilevel"/>
    <w:tmpl w:val="1924D6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A02468"/>
    <w:multiLevelType w:val="hybridMultilevel"/>
    <w:tmpl w:val="B9965DB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78291186"/>
    <w:multiLevelType w:val="hybridMultilevel"/>
    <w:tmpl w:val="EC6A5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620297"/>
    <w:multiLevelType w:val="hybridMultilevel"/>
    <w:tmpl w:val="DD04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002394"/>
    <w:multiLevelType w:val="hybridMultilevel"/>
    <w:tmpl w:val="1CCAB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BB3C8B"/>
    <w:multiLevelType w:val="hybridMultilevel"/>
    <w:tmpl w:val="DA94E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38"/>
  </w:num>
  <w:num w:numId="3">
    <w:abstractNumId w:val="13"/>
  </w:num>
  <w:num w:numId="4">
    <w:abstractNumId w:val="15"/>
  </w:num>
  <w:num w:numId="5">
    <w:abstractNumId w:val="12"/>
  </w:num>
  <w:num w:numId="6">
    <w:abstractNumId w:val="20"/>
  </w:num>
  <w:num w:numId="7">
    <w:abstractNumId w:val="35"/>
  </w:num>
  <w:num w:numId="8">
    <w:abstractNumId w:val="11"/>
  </w:num>
  <w:num w:numId="9">
    <w:abstractNumId w:val="4"/>
  </w:num>
  <w:num w:numId="10">
    <w:abstractNumId w:val="19"/>
  </w:num>
  <w:num w:numId="11">
    <w:abstractNumId w:val="22"/>
  </w:num>
  <w:num w:numId="12">
    <w:abstractNumId w:val="29"/>
  </w:num>
  <w:num w:numId="13">
    <w:abstractNumId w:val="31"/>
  </w:num>
  <w:num w:numId="14">
    <w:abstractNumId w:val="8"/>
  </w:num>
  <w:num w:numId="15">
    <w:abstractNumId w:val="44"/>
  </w:num>
  <w:num w:numId="16">
    <w:abstractNumId w:val="37"/>
  </w:num>
  <w:num w:numId="17">
    <w:abstractNumId w:val="14"/>
  </w:num>
  <w:num w:numId="18">
    <w:abstractNumId w:val="9"/>
  </w:num>
  <w:num w:numId="19">
    <w:abstractNumId w:val="36"/>
  </w:num>
  <w:num w:numId="20">
    <w:abstractNumId w:val="1"/>
  </w:num>
  <w:num w:numId="21">
    <w:abstractNumId w:val="3"/>
  </w:num>
  <w:num w:numId="22">
    <w:abstractNumId w:val="43"/>
  </w:num>
  <w:num w:numId="23">
    <w:abstractNumId w:val="40"/>
  </w:num>
  <w:num w:numId="24">
    <w:abstractNumId w:val="45"/>
  </w:num>
  <w:num w:numId="25">
    <w:abstractNumId w:val="30"/>
  </w:num>
  <w:num w:numId="26">
    <w:abstractNumId w:val="39"/>
  </w:num>
  <w:num w:numId="27">
    <w:abstractNumId w:val="21"/>
  </w:num>
  <w:num w:numId="28">
    <w:abstractNumId w:val="0"/>
  </w:num>
  <w:num w:numId="29">
    <w:abstractNumId w:val="23"/>
  </w:num>
  <w:num w:numId="30">
    <w:abstractNumId w:val="7"/>
  </w:num>
  <w:num w:numId="31">
    <w:abstractNumId w:val="26"/>
  </w:num>
  <w:num w:numId="32">
    <w:abstractNumId w:val="33"/>
  </w:num>
  <w:num w:numId="33">
    <w:abstractNumId w:val="5"/>
  </w:num>
  <w:num w:numId="34">
    <w:abstractNumId w:val="25"/>
  </w:num>
  <w:num w:numId="35">
    <w:abstractNumId w:val="27"/>
  </w:num>
  <w:num w:numId="36">
    <w:abstractNumId w:val="2"/>
  </w:num>
  <w:num w:numId="37">
    <w:abstractNumId w:val="6"/>
  </w:num>
  <w:num w:numId="38">
    <w:abstractNumId w:val="24"/>
  </w:num>
  <w:num w:numId="39">
    <w:abstractNumId w:val="42"/>
  </w:num>
  <w:num w:numId="40">
    <w:abstractNumId w:val="28"/>
  </w:num>
  <w:num w:numId="41">
    <w:abstractNumId w:val="18"/>
  </w:num>
  <w:num w:numId="42">
    <w:abstractNumId w:val="16"/>
  </w:num>
  <w:num w:numId="43">
    <w:abstractNumId w:val="34"/>
  </w:num>
  <w:num w:numId="44">
    <w:abstractNumId w:val="41"/>
  </w:num>
  <w:num w:numId="45">
    <w:abstractNumId w:val="1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8A"/>
    <w:rsid w:val="000002B3"/>
    <w:rsid w:val="0000050F"/>
    <w:rsid w:val="0000069C"/>
    <w:rsid w:val="0000076B"/>
    <w:rsid w:val="00000C09"/>
    <w:rsid w:val="000011B5"/>
    <w:rsid w:val="00001589"/>
    <w:rsid w:val="00002029"/>
    <w:rsid w:val="000021A5"/>
    <w:rsid w:val="00002552"/>
    <w:rsid w:val="00002710"/>
    <w:rsid w:val="000029FD"/>
    <w:rsid w:val="000038D8"/>
    <w:rsid w:val="00003AB8"/>
    <w:rsid w:val="00003EF9"/>
    <w:rsid w:val="00004281"/>
    <w:rsid w:val="00004290"/>
    <w:rsid w:val="000045E2"/>
    <w:rsid w:val="0000461C"/>
    <w:rsid w:val="00004A2E"/>
    <w:rsid w:val="00004C95"/>
    <w:rsid w:val="000051A1"/>
    <w:rsid w:val="00005328"/>
    <w:rsid w:val="000056ED"/>
    <w:rsid w:val="0000587C"/>
    <w:rsid w:val="00005B7D"/>
    <w:rsid w:val="00005D11"/>
    <w:rsid w:val="000065FE"/>
    <w:rsid w:val="00006BEE"/>
    <w:rsid w:val="00006DEE"/>
    <w:rsid w:val="000070C7"/>
    <w:rsid w:val="0000734D"/>
    <w:rsid w:val="00007A0C"/>
    <w:rsid w:val="00007ABB"/>
    <w:rsid w:val="00007AF4"/>
    <w:rsid w:val="00007B65"/>
    <w:rsid w:val="000106F9"/>
    <w:rsid w:val="000107D3"/>
    <w:rsid w:val="00010904"/>
    <w:rsid w:val="00010AD8"/>
    <w:rsid w:val="00010DC8"/>
    <w:rsid w:val="000114D9"/>
    <w:rsid w:val="00011CB3"/>
    <w:rsid w:val="00011DCD"/>
    <w:rsid w:val="00011E7B"/>
    <w:rsid w:val="00012123"/>
    <w:rsid w:val="00012643"/>
    <w:rsid w:val="000126BE"/>
    <w:rsid w:val="000127F3"/>
    <w:rsid w:val="00012CDB"/>
    <w:rsid w:val="00012F08"/>
    <w:rsid w:val="00013B90"/>
    <w:rsid w:val="00013BC1"/>
    <w:rsid w:val="000142D6"/>
    <w:rsid w:val="0001498C"/>
    <w:rsid w:val="00014CAA"/>
    <w:rsid w:val="00014EFD"/>
    <w:rsid w:val="00015080"/>
    <w:rsid w:val="000150B2"/>
    <w:rsid w:val="00015910"/>
    <w:rsid w:val="00015C16"/>
    <w:rsid w:val="00015D91"/>
    <w:rsid w:val="00015E19"/>
    <w:rsid w:val="00016C1C"/>
    <w:rsid w:val="00016E2A"/>
    <w:rsid w:val="00016E61"/>
    <w:rsid w:val="00016EC1"/>
    <w:rsid w:val="000170B8"/>
    <w:rsid w:val="000170E0"/>
    <w:rsid w:val="00017419"/>
    <w:rsid w:val="0001768C"/>
    <w:rsid w:val="00017751"/>
    <w:rsid w:val="00017BEB"/>
    <w:rsid w:val="00017C10"/>
    <w:rsid w:val="00020138"/>
    <w:rsid w:val="000213C9"/>
    <w:rsid w:val="00021D92"/>
    <w:rsid w:val="00021EBC"/>
    <w:rsid w:val="00021F52"/>
    <w:rsid w:val="00022464"/>
    <w:rsid w:val="00022567"/>
    <w:rsid w:val="00022629"/>
    <w:rsid w:val="00022F1C"/>
    <w:rsid w:val="00023238"/>
    <w:rsid w:val="00023872"/>
    <w:rsid w:val="00023A42"/>
    <w:rsid w:val="00024764"/>
    <w:rsid w:val="00024794"/>
    <w:rsid w:val="000249B6"/>
    <w:rsid w:val="00024A39"/>
    <w:rsid w:val="00024A43"/>
    <w:rsid w:val="00024CE5"/>
    <w:rsid w:val="000257DA"/>
    <w:rsid w:val="000276F7"/>
    <w:rsid w:val="000278BB"/>
    <w:rsid w:val="00027E89"/>
    <w:rsid w:val="00027F46"/>
    <w:rsid w:val="00030017"/>
    <w:rsid w:val="00030217"/>
    <w:rsid w:val="000309B8"/>
    <w:rsid w:val="00030D14"/>
    <w:rsid w:val="0003107E"/>
    <w:rsid w:val="00031212"/>
    <w:rsid w:val="00031CDC"/>
    <w:rsid w:val="00032195"/>
    <w:rsid w:val="00032579"/>
    <w:rsid w:val="00032C37"/>
    <w:rsid w:val="000330B4"/>
    <w:rsid w:val="000335E9"/>
    <w:rsid w:val="00033914"/>
    <w:rsid w:val="00033A5A"/>
    <w:rsid w:val="00033DEB"/>
    <w:rsid w:val="00034175"/>
    <w:rsid w:val="0003474B"/>
    <w:rsid w:val="00034843"/>
    <w:rsid w:val="00034B29"/>
    <w:rsid w:val="00034EC4"/>
    <w:rsid w:val="000358FF"/>
    <w:rsid w:val="000369AC"/>
    <w:rsid w:val="00036A94"/>
    <w:rsid w:val="00036E71"/>
    <w:rsid w:val="00037728"/>
    <w:rsid w:val="00037765"/>
    <w:rsid w:val="00037DD6"/>
    <w:rsid w:val="00040BEC"/>
    <w:rsid w:val="00041D22"/>
    <w:rsid w:val="0004277B"/>
    <w:rsid w:val="000427F1"/>
    <w:rsid w:val="00042B7E"/>
    <w:rsid w:val="000437A1"/>
    <w:rsid w:val="0004399B"/>
    <w:rsid w:val="00043F02"/>
    <w:rsid w:val="0004432E"/>
    <w:rsid w:val="0004452D"/>
    <w:rsid w:val="000446D6"/>
    <w:rsid w:val="00044B9C"/>
    <w:rsid w:val="00044C18"/>
    <w:rsid w:val="00044C37"/>
    <w:rsid w:val="00044CD8"/>
    <w:rsid w:val="0004533A"/>
    <w:rsid w:val="0004567F"/>
    <w:rsid w:val="000456E2"/>
    <w:rsid w:val="00046904"/>
    <w:rsid w:val="000469D0"/>
    <w:rsid w:val="00047380"/>
    <w:rsid w:val="00047764"/>
    <w:rsid w:val="00047955"/>
    <w:rsid w:val="0005027D"/>
    <w:rsid w:val="000505FC"/>
    <w:rsid w:val="0005072A"/>
    <w:rsid w:val="00050AB2"/>
    <w:rsid w:val="00050CDD"/>
    <w:rsid w:val="00050DE6"/>
    <w:rsid w:val="00050E09"/>
    <w:rsid w:val="0005127C"/>
    <w:rsid w:val="0005202E"/>
    <w:rsid w:val="000538CA"/>
    <w:rsid w:val="00053AC4"/>
    <w:rsid w:val="00053C6D"/>
    <w:rsid w:val="00053FAA"/>
    <w:rsid w:val="00054143"/>
    <w:rsid w:val="00054779"/>
    <w:rsid w:val="00054A44"/>
    <w:rsid w:val="00054C5E"/>
    <w:rsid w:val="0005587D"/>
    <w:rsid w:val="000558C5"/>
    <w:rsid w:val="00055AE1"/>
    <w:rsid w:val="00055E2A"/>
    <w:rsid w:val="000560A5"/>
    <w:rsid w:val="00056687"/>
    <w:rsid w:val="00056A41"/>
    <w:rsid w:val="00056B5B"/>
    <w:rsid w:val="00056DED"/>
    <w:rsid w:val="00057313"/>
    <w:rsid w:val="0005752E"/>
    <w:rsid w:val="0005753B"/>
    <w:rsid w:val="00057628"/>
    <w:rsid w:val="0006003D"/>
    <w:rsid w:val="0006004C"/>
    <w:rsid w:val="00060A25"/>
    <w:rsid w:val="00060F46"/>
    <w:rsid w:val="000615C8"/>
    <w:rsid w:val="0006165E"/>
    <w:rsid w:val="000628AA"/>
    <w:rsid w:val="00063AB0"/>
    <w:rsid w:val="00063CB4"/>
    <w:rsid w:val="000640F2"/>
    <w:rsid w:val="00064E50"/>
    <w:rsid w:val="00064E9B"/>
    <w:rsid w:val="00064F1E"/>
    <w:rsid w:val="000650F3"/>
    <w:rsid w:val="00065648"/>
    <w:rsid w:val="00065B3C"/>
    <w:rsid w:val="00065BB1"/>
    <w:rsid w:val="00065F9D"/>
    <w:rsid w:val="00066626"/>
    <w:rsid w:val="00066C7A"/>
    <w:rsid w:val="000673A7"/>
    <w:rsid w:val="0006748A"/>
    <w:rsid w:val="00067DB8"/>
    <w:rsid w:val="00070124"/>
    <w:rsid w:val="00070904"/>
    <w:rsid w:val="0007098F"/>
    <w:rsid w:val="00070CC9"/>
    <w:rsid w:val="0007190D"/>
    <w:rsid w:val="00071B0E"/>
    <w:rsid w:val="00071E09"/>
    <w:rsid w:val="00071F19"/>
    <w:rsid w:val="000728AE"/>
    <w:rsid w:val="00072C02"/>
    <w:rsid w:val="00072CAF"/>
    <w:rsid w:val="00073075"/>
    <w:rsid w:val="000735D0"/>
    <w:rsid w:val="0007386F"/>
    <w:rsid w:val="000739BD"/>
    <w:rsid w:val="00073D57"/>
    <w:rsid w:val="00073F92"/>
    <w:rsid w:val="000748A3"/>
    <w:rsid w:val="000749D0"/>
    <w:rsid w:val="00074CB3"/>
    <w:rsid w:val="00074D6B"/>
    <w:rsid w:val="0007528F"/>
    <w:rsid w:val="000758B8"/>
    <w:rsid w:val="0007599A"/>
    <w:rsid w:val="00076031"/>
    <w:rsid w:val="000761BC"/>
    <w:rsid w:val="000765C2"/>
    <w:rsid w:val="000767C1"/>
    <w:rsid w:val="00076B27"/>
    <w:rsid w:val="00076C5A"/>
    <w:rsid w:val="00076FDA"/>
    <w:rsid w:val="000770D0"/>
    <w:rsid w:val="00077735"/>
    <w:rsid w:val="000779E9"/>
    <w:rsid w:val="00077B13"/>
    <w:rsid w:val="00077BA5"/>
    <w:rsid w:val="000801EC"/>
    <w:rsid w:val="000805A5"/>
    <w:rsid w:val="00080723"/>
    <w:rsid w:val="0008072A"/>
    <w:rsid w:val="00080C4E"/>
    <w:rsid w:val="00080E5D"/>
    <w:rsid w:val="00081113"/>
    <w:rsid w:val="0008115F"/>
    <w:rsid w:val="000819EA"/>
    <w:rsid w:val="00081EFC"/>
    <w:rsid w:val="0008201C"/>
    <w:rsid w:val="00082066"/>
    <w:rsid w:val="000825C2"/>
    <w:rsid w:val="00082A81"/>
    <w:rsid w:val="000833D7"/>
    <w:rsid w:val="000840A6"/>
    <w:rsid w:val="00084405"/>
    <w:rsid w:val="000857FE"/>
    <w:rsid w:val="00085B10"/>
    <w:rsid w:val="00085B3E"/>
    <w:rsid w:val="00085DF1"/>
    <w:rsid w:val="00086224"/>
    <w:rsid w:val="000865FE"/>
    <w:rsid w:val="00086603"/>
    <w:rsid w:val="000875A4"/>
    <w:rsid w:val="00087978"/>
    <w:rsid w:val="00087B15"/>
    <w:rsid w:val="000901A5"/>
    <w:rsid w:val="000901CC"/>
    <w:rsid w:val="00090A43"/>
    <w:rsid w:val="00090F72"/>
    <w:rsid w:val="0009188C"/>
    <w:rsid w:val="000918A9"/>
    <w:rsid w:val="00091DFF"/>
    <w:rsid w:val="00091EA6"/>
    <w:rsid w:val="00092319"/>
    <w:rsid w:val="00092868"/>
    <w:rsid w:val="00094307"/>
    <w:rsid w:val="000944B0"/>
    <w:rsid w:val="000947F0"/>
    <w:rsid w:val="0009518C"/>
    <w:rsid w:val="000957CD"/>
    <w:rsid w:val="00095927"/>
    <w:rsid w:val="00095AA6"/>
    <w:rsid w:val="00095BA4"/>
    <w:rsid w:val="00095DBC"/>
    <w:rsid w:val="000963FD"/>
    <w:rsid w:val="00096F7A"/>
    <w:rsid w:val="00097277"/>
    <w:rsid w:val="00097E32"/>
    <w:rsid w:val="000A17AA"/>
    <w:rsid w:val="000A1927"/>
    <w:rsid w:val="000A1B2C"/>
    <w:rsid w:val="000A1CA1"/>
    <w:rsid w:val="000A1CEF"/>
    <w:rsid w:val="000A1DE5"/>
    <w:rsid w:val="000A1F87"/>
    <w:rsid w:val="000A275C"/>
    <w:rsid w:val="000A2A4E"/>
    <w:rsid w:val="000A2EC1"/>
    <w:rsid w:val="000A2F8C"/>
    <w:rsid w:val="000A3489"/>
    <w:rsid w:val="000A3692"/>
    <w:rsid w:val="000A3928"/>
    <w:rsid w:val="000A398E"/>
    <w:rsid w:val="000A3B5A"/>
    <w:rsid w:val="000A4FDA"/>
    <w:rsid w:val="000A52C3"/>
    <w:rsid w:val="000A54A5"/>
    <w:rsid w:val="000A5E0E"/>
    <w:rsid w:val="000A6428"/>
    <w:rsid w:val="000A6D5B"/>
    <w:rsid w:val="000A6FD2"/>
    <w:rsid w:val="000A7409"/>
    <w:rsid w:val="000A7569"/>
    <w:rsid w:val="000A75B5"/>
    <w:rsid w:val="000A767B"/>
    <w:rsid w:val="000A7A16"/>
    <w:rsid w:val="000B0078"/>
    <w:rsid w:val="000B01E0"/>
    <w:rsid w:val="000B02E6"/>
    <w:rsid w:val="000B0301"/>
    <w:rsid w:val="000B048F"/>
    <w:rsid w:val="000B061F"/>
    <w:rsid w:val="000B0809"/>
    <w:rsid w:val="000B0A1F"/>
    <w:rsid w:val="000B0B9F"/>
    <w:rsid w:val="000B1067"/>
    <w:rsid w:val="000B1390"/>
    <w:rsid w:val="000B14F6"/>
    <w:rsid w:val="000B1C0D"/>
    <w:rsid w:val="000B1CED"/>
    <w:rsid w:val="000B22B5"/>
    <w:rsid w:val="000B2614"/>
    <w:rsid w:val="000B3D96"/>
    <w:rsid w:val="000B4357"/>
    <w:rsid w:val="000B4750"/>
    <w:rsid w:val="000B4788"/>
    <w:rsid w:val="000B4A0B"/>
    <w:rsid w:val="000B5A7C"/>
    <w:rsid w:val="000B64A1"/>
    <w:rsid w:val="000B68EB"/>
    <w:rsid w:val="000B6AD7"/>
    <w:rsid w:val="000B6BDE"/>
    <w:rsid w:val="000B6BEF"/>
    <w:rsid w:val="000B6EB7"/>
    <w:rsid w:val="000B7062"/>
    <w:rsid w:val="000B7403"/>
    <w:rsid w:val="000B7B11"/>
    <w:rsid w:val="000B7D5A"/>
    <w:rsid w:val="000B7E65"/>
    <w:rsid w:val="000C091A"/>
    <w:rsid w:val="000C0932"/>
    <w:rsid w:val="000C0ACF"/>
    <w:rsid w:val="000C1290"/>
    <w:rsid w:val="000C1BC5"/>
    <w:rsid w:val="000C1E75"/>
    <w:rsid w:val="000C209D"/>
    <w:rsid w:val="000C2353"/>
    <w:rsid w:val="000C2676"/>
    <w:rsid w:val="000C2AFB"/>
    <w:rsid w:val="000C2BC4"/>
    <w:rsid w:val="000C2F6B"/>
    <w:rsid w:val="000C330A"/>
    <w:rsid w:val="000C34E8"/>
    <w:rsid w:val="000C37F0"/>
    <w:rsid w:val="000C3E83"/>
    <w:rsid w:val="000C42C5"/>
    <w:rsid w:val="000C5286"/>
    <w:rsid w:val="000C5414"/>
    <w:rsid w:val="000C5B48"/>
    <w:rsid w:val="000C5E0A"/>
    <w:rsid w:val="000C5E20"/>
    <w:rsid w:val="000C5ED5"/>
    <w:rsid w:val="000C63B0"/>
    <w:rsid w:val="000C7838"/>
    <w:rsid w:val="000C795E"/>
    <w:rsid w:val="000C7B57"/>
    <w:rsid w:val="000C7C30"/>
    <w:rsid w:val="000D065A"/>
    <w:rsid w:val="000D0A6F"/>
    <w:rsid w:val="000D0B36"/>
    <w:rsid w:val="000D1046"/>
    <w:rsid w:val="000D11DD"/>
    <w:rsid w:val="000D1340"/>
    <w:rsid w:val="000D220F"/>
    <w:rsid w:val="000D2400"/>
    <w:rsid w:val="000D2509"/>
    <w:rsid w:val="000D28C2"/>
    <w:rsid w:val="000D2A85"/>
    <w:rsid w:val="000D2D27"/>
    <w:rsid w:val="000D33CB"/>
    <w:rsid w:val="000D3960"/>
    <w:rsid w:val="000D3BED"/>
    <w:rsid w:val="000D4071"/>
    <w:rsid w:val="000D43F0"/>
    <w:rsid w:val="000D5B76"/>
    <w:rsid w:val="000D60CF"/>
    <w:rsid w:val="000D6E33"/>
    <w:rsid w:val="000D6E6A"/>
    <w:rsid w:val="000D6F24"/>
    <w:rsid w:val="000D6F94"/>
    <w:rsid w:val="000D71F9"/>
    <w:rsid w:val="000D72D2"/>
    <w:rsid w:val="000D765F"/>
    <w:rsid w:val="000E0B78"/>
    <w:rsid w:val="000E0C4F"/>
    <w:rsid w:val="000E0CBF"/>
    <w:rsid w:val="000E1578"/>
    <w:rsid w:val="000E1E94"/>
    <w:rsid w:val="000E21A9"/>
    <w:rsid w:val="000E2256"/>
    <w:rsid w:val="000E24F0"/>
    <w:rsid w:val="000E2639"/>
    <w:rsid w:val="000E2738"/>
    <w:rsid w:val="000E3DA9"/>
    <w:rsid w:val="000E406B"/>
    <w:rsid w:val="000E4949"/>
    <w:rsid w:val="000E4E04"/>
    <w:rsid w:val="000E52BE"/>
    <w:rsid w:val="000E6598"/>
    <w:rsid w:val="000E6827"/>
    <w:rsid w:val="000E69F1"/>
    <w:rsid w:val="000E6E78"/>
    <w:rsid w:val="000E7393"/>
    <w:rsid w:val="000E7430"/>
    <w:rsid w:val="000E7E91"/>
    <w:rsid w:val="000E7F51"/>
    <w:rsid w:val="000F06D1"/>
    <w:rsid w:val="000F096E"/>
    <w:rsid w:val="000F11D8"/>
    <w:rsid w:val="000F214C"/>
    <w:rsid w:val="000F359E"/>
    <w:rsid w:val="000F35C6"/>
    <w:rsid w:val="000F38E1"/>
    <w:rsid w:val="000F3E12"/>
    <w:rsid w:val="000F4EA9"/>
    <w:rsid w:val="000F52C4"/>
    <w:rsid w:val="000F53CB"/>
    <w:rsid w:val="000F58E6"/>
    <w:rsid w:val="000F5EB1"/>
    <w:rsid w:val="000F6D4D"/>
    <w:rsid w:val="000F6D6D"/>
    <w:rsid w:val="000F6D7B"/>
    <w:rsid w:val="000F6E13"/>
    <w:rsid w:val="000F7335"/>
    <w:rsid w:val="000F73C1"/>
    <w:rsid w:val="000F7EE7"/>
    <w:rsid w:val="0010093D"/>
    <w:rsid w:val="00100D27"/>
    <w:rsid w:val="00100D8E"/>
    <w:rsid w:val="00101332"/>
    <w:rsid w:val="001018FC"/>
    <w:rsid w:val="00101E45"/>
    <w:rsid w:val="001020D8"/>
    <w:rsid w:val="00102305"/>
    <w:rsid w:val="00102472"/>
    <w:rsid w:val="001025E5"/>
    <w:rsid w:val="001028E6"/>
    <w:rsid w:val="0010311E"/>
    <w:rsid w:val="001031E3"/>
    <w:rsid w:val="0010394A"/>
    <w:rsid w:val="00103DAB"/>
    <w:rsid w:val="00103FD9"/>
    <w:rsid w:val="00104159"/>
    <w:rsid w:val="001056CD"/>
    <w:rsid w:val="001059B6"/>
    <w:rsid w:val="00106207"/>
    <w:rsid w:val="00106494"/>
    <w:rsid w:val="001066A3"/>
    <w:rsid w:val="0010692F"/>
    <w:rsid w:val="0010737A"/>
    <w:rsid w:val="00107D82"/>
    <w:rsid w:val="00107EFA"/>
    <w:rsid w:val="00110040"/>
    <w:rsid w:val="001108B6"/>
    <w:rsid w:val="00110908"/>
    <w:rsid w:val="00110E49"/>
    <w:rsid w:val="00111B70"/>
    <w:rsid w:val="001123AD"/>
    <w:rsid w:val="0011297B"/>
    <w:rsid w:val="00113883"/>
    <w:rsid w:val="00113E16"/>
    <w:rsid w:val="00114108"/>
    <w:rsid w:val="00114B41"/>
    <w:rsid w:val="00114C8C"/>
    <w:rsid w:val="0011569F"/>
    <w:rsid w:val="00116031"/>
    <w:rsid w:val="00116AF0"/>
    <w:rsid w:val="00117005"/>
    <w:rsid w:val="001172AA"/>
    <w:rsid w:val="00117865"/>
    <w:rsid w:val="0011791D"/>
    <w:rsid w:val="00117B65"/>
    <w:rsid w:val="00117E9B"/>
    <w:rsid w:val="0012014D"/>
    <w:rsid w:val="00120B57"/>
    <w:rsid w:val="001218BE"/>
    <w:rsid w:val="00121C4B"/>
    <w:rsid w:val="00122899"/>
    <w:rsid w:val="00122C9F"/>
    <w:rsid w:val="00122D95"/>
    <w:rsid w:val="00123026"/>
    <w:rsid w:val="0012306C"/>
    <w:rsid w:val="0012307F"/>
    <w:rsid w:val="0012358B"/>
    <w:rsid w:val="00123858"/>
    <w:rsid w:val="00124D81"/>
    <w:rsid w:val="00124DA2"/>
    <w:rsid w:val="00125353"/>
    <w:rsid w:val="00125824"/>
    <w:rsid w:val="00125BDD"/>
    <w:rsid w:val="00125C1C"/>
    <w:rsid w:val="00126355"/>
    <w:rsid w:val="00126D36"/>
    <w:rsid w:val="00126EC1"/>
    <w:rsid w:val="00127960"/>
    <w:rsid w:val="00127E4F"/>
    <w:rsid w:val="0013003B"/>
    <w:rsid w:val="001300F7"/>
    <w:rsid w:val="001301D3"/>
    <w:rsid w:val="0013026B"/>
    <w:rsid w:val="001303CA"/>
    <w:rsid w:val="00130650"/>
    <w:rsid w:val="00130FD3"/>
    <w:rsid w:val="00131180"/>
    <w:rsid w:val="001316D0"/>
    <w:rsid w:val="0013203C"/>
    <w:rsid w:val="00132238"/>
    <w:rsid w:val="0013226C"/>
    <w:rsid w:val="0013265C"/>
    <w:rsid w:val="00132EB6"/>
    <w:rsid w:val="0013316D"/>
    <w:rsid w:val="001339B6"/>
    <w:rsid w:val="00133C51"/>
    <w:rsid w:val="00133C83"/>
    <w:rsid w:val="00133D31"/>
    <w:rsid w:val="00133D6C"/>
    <w:rsid w:val="00133DB8"/>
    <w:rsid w:val="00134163"/>
    <w:rsid w:val="00134778"/>
    <w:rsid w:val="00134C55"/>
    <w:rsid w:val="0013506A"/>
    <w:rsid w:val="001351EF"/>
    <w:rsid w:val="00135643"/>
    <w:rsid w:val="001358B7"/>
    <w:rsid w:val="00135FF3"/>
    <w:rsid w:val="0013636F"/>
    <w:rsid w:val="00136622"/>
    <w:rsid w:val="00136B3E"/>
    <w:rsid w:val="00136D54"/>
    <w:rsid w:val="00136EAC"/>
    <w:rsid w:val="00137006"/>
    <w:rsid w:val="001370AA"/>
    <w:rsid w:val="001377D8"/>
    <w:rsid w:val="00137805"/>
    <w:rsid w:val="001379A6"/>
    <w:rsid w:val="00137A4F"/>
    <w:rsid w:val="00137C1A"/>
    <w:rsid w:val="00140888"/>
    <w:rsid w:val="0014159D"/>
    <w:rsid w:val="001418EB"/>
    <w:rsid w:val="001418F4"/>
    <w:rsid w:val="001421D4"/>
    <w:rsid w:val="001422CA"/>
    <w:rsid w:val="0014268E"/>
    <w:rsid w:val="00142CB9"/>
    <w:rsid w:val="00143DB0"/>
    <w:rsid w:val="0014419F"/>
    <w:rsid w:val="0014468E"/>
    <w:rsid w:val="001453AD"/>
    <w:rsid w:val="00146338"/>
    <w:rsid w:val="00146443"/>
    <w:rsid w:val="00146976"/>
    <w:rsid w:val="00146D52"/>
    <w:rsid w:val="001474CD"/>
    <w:rsid w:val="001474E6"/>
    <w:rsid w:val="001475B7"/>
    <w:rsid w:val="00147C09"/>
    <w:rsid w:val="00150416"/>
    <w:rsid w:val="0015052A"/>
    <w:rsid w:val="0015131A"/>
    <w:rsid w:val="00151548"/>
    <w:rsid w:val="00151F05"/>
    <w:rsid w:val="001524FF"/>
    <w:rsid w:val="00152517"/>
    <w:rsid w:val="00152933"/>
    <w:rsid w:val="00152B58"/>
    <w:rsid w:val="00152D07"/>
    <w:rsid w:val="00153051"/>
    <w:rsid w:val="0015336D"/>
    <w:rsid w:val="00153B8C"/>
    <w:rsid w:val="00153DFD"/>
    <w:rsid w:val="00153E6C"/>
    <w:rsid w:val="00153FBD"/>
    <w:rsid w:val="00154044"/>
    <w:rsid w:val="001549D1"/>
    <w:rsid w:val="00154CE3"/>
    <w:rsid w:val="00155287"/>
    <w:rsid w:val="001552CF"/>
    <w:rsid w:val="001554DC"/>
    <w:rsid w:val="001555BE"/>
    <w:rsid w:val="00155749"/>
    <w:rsid w:val="001558CE"/>
    <w:rsid w:val="00155F51"/>
    <w:rsid w:val="00155FAA"/>
    <w:rsid w:val="0015613B"/>
    <w:rsid w:val="001561BE"/>
    <w:rsid w:val="00156439"/>
    <w:rsid w:val="0015646B"/>
    <w:rsid w:val="001566EF"/>
    <w:rsid w:val="00156876"/>
    <w:rsid w:val="001569A1"/>
    <w:rsid w:val="00156E06"/>
    <w:rsid w:val="001572D9"/>
    <w:rsid w:val="0015789C"/>
    <w:rsid w:val="00157B49"/>
    <w:rsid w:val="0016053C"/>
    <w:rsid w:val="00160796"/>
    <w:rsid w:val="00160BB0"/>
    <w:rsid w:val="00161162"/>
    <w:rsid w:val="0016146E"/>
    <w:rsid w:val="00162072"/>
    <w:rsid w:val="001621D8"/>
    <w:rsid w:val="00162511"/>
    <w:rsid w:val="00162BD6"/>
    <w:rsid w:val="00162DDC"/>
    <w:rsid w:val="00162F10"/>
    <w:rsid w:val="001630D8"/>
    <w:rsid w:val="001633D4"/>
    <w:rsid w:val="00163D4A"/>
    <w:rsid w:val="00163DFC"/>
    <w:rsid w:val="00164E86"/>
    <w:rsid w:val="00165238"/>
    <w:rsid w:val="00165708"/>
    <w:rsid w:val="001657B3"/>
    <w:rsid w:val="00165DD8"/>
    <w:rsid w:val="00166B06"/>
    <w:rsid w:val="00166B32"/>
    <w:rsid w:val="00166B43"/>
    <w:rsid w:val="00166CD5"/>
    <w:rsid w:val="00166D4A"/>
    <w:rsid w:val="0016754D"/>
    <w:rsid w:val="00167701"/>
    <w:rsid w:val="001678A0"/>
    <w:rsid w:val="00167C36"/>
    <w:rsid w:val="00167F25"/>
    <w:rsid w:val="00167FD7"/>
    <w:rsid w:val="0017032E"/>
    <w:rsid w:val="001706E3"/>
    <w:rsid w:val="00170707"/>
    <w:rsid w:val="00170873"/>
    <w:rsid w:val="00170F99"/>
    <w:rsid w:val="0017104F"/>
    <w:rsid w:val="00171506"/>
    <w:rsid w:val="00171969"/>
    <w:rsid w:val="00171A5F"/>
    <w:rsid w:val="001720E0"/>
    <w:rsid w:val="00172318"/>
    <w:rsid w:val="001726B0"/>
    <w:rsid w:val="00172898"/>
    <w:rsid w:val="00172D0F"/>
    <w:rsid w:val="00172F4B"/>
    <w:rsid w:val="001732CD"/>
    <w:rsid w:val="00173AEF"/>
    <w:rsid w:val="00173AFB"/>
    <w:rsid w:val="00173B4F"/>
    <w:rsid w:val="00173D22"/>
    <w:rsid w:val="00174359"/>
    <w:rsid w:val="001752EF"/>
    <w:rsid w:val="0017542F"/>
    <w:rsid w:val="0017559E"/>
    <w:rsid w:val="00175845"/>
    <w:rsid w:val="00175988"/>
    <w:rsid w:val="00175B1C"/>
    <w:rsid w:val="00176ABB"/>
    <w:rsid w:val="00176E4C"/>
    <w:rsid w:val="00176EA5"/>
    <w:rsid w:val="00177804"/>
    <w:rsid w:val="00177B96"/>
    <w:rsid w:val="00177F54"/>
    <w:rsid w:val="001800CC"/>
    <w:rsid w:val="00180264"/>
    <w:rsid w:val="00180679"/>
    <w:rsid w:val="00180770"/>
    <w:rsid w:val="001807CD"/>
    <w:rsid w:val="001808E3"/>
    <w:rsid w:val="00180D61"/>
    <w:rsid w:val="001813EB"/>
    <w:rsid w:val="0018149A"/>
    <w:rsid w:val="00181811"/>
    <w:rsid w:val="001827E7"/>
    <w:rsid w:val="00182863"/>
    <w:rsid w:val="001829E5"/>
    <w:rsid w:val="00182E65"/>
    <w:rsid w:val="00182E67"/>
    <w:rsid w:val="00183788"/>
    <w:rsid w:val="001838DB"/>
    <w:rsid w:val="00183C27"/>
    <w:rsid w:val="00183D6A"/>
    <w:rsid w:val="00184795"/>
    <w:rsid w:val="001849D8"/>
    <w:rsid w:val="00185207"/>
    <w:rsid w:val="00185A15"/>
    <w:rsid w:val="00185F4E"/>
    <w:rsid w:val="001863B5"/>
    <w:rsid w:val="00186B09"/>
    <w:rsid w:val="00187694"/>
    <w:rsid w:val="00187A37"/>
    <w:rsid w:val="00190267"/>
    <w:rsid w:val="001903DE"/>
    <w:rsid w:val="001908C5"/>
    <w:rsid w:val="00190EE4"/>
    <w:rsid w:val="00191522"/>
    <w:rsid w:val="00191C81"/>
    <w:rsid w:val="00191DA9"/>
    <w:rsid w:val="00191DFC"/>
    <w:rsid w:val="001925A7"/>
    <w:rsid w:val="00192CDE"/>
    <w:rsid w:val="00192E41"/>
    <w:rsid w:val="0019339F"/>
    <w:rsid w:val="001937A4"/>
    <w:rsid w:val="00193ADE"/>
    <w:rsid w:val="00193B68"/>
    <w:rsid w:val="00193CE6"/>
    <w:rsid w:val="00193F9B"/>
    <w:rsid w:val="00195264"/>
    <w:rsid w:val="0019543A"/>
    <w:rsid w:val="00195B08"/>
    <w:rsid w:val="0019601A"/>
    <w:rsid w:val="00196468"/>
    <w:rsid w:val="001964DA"/>
    <w:rsid w:val="00196570"/>
    <w:rsid w:val="00196A65"/>
    <w:rsid w:val="00196E94"/>
    <w:rsid w:val="0019712C"/>
    <w:rsid w:val="00197437"/>
    <w:rsid w:val="001A0086"/>
    <w:rsid w:val="001A0431"/>
    <w:rsid w:val="001A0B48"/>
    <w:rsid w:val="001A0C45"/>
    <w:rsid w:val="001A1A04"/>
    <w:rsid w:val="001A29B0"/>
    <w:rsid w:val="001A3099"/>
    <w:rsid w:val="001A3223"/>
    <w:rsid w:val="001A37D6"/>
    <w:rsid w:val="001A3861"/>
    <w:rsid w:val="001A3AE8"/>
    <w:rsid w:val="001A3DF3"/>
    <w:rsid w:val="001A48B2"/>
    <w:rsid w:val="001A4DA0"/>
    <w:rsid w:val="001A53B5"/>
    <w:rsid w:val="001A53EF"/>
    <w:rsid w:val="001A62B8"/>
    <w:rsid w:val="001A6C64"/>
    <w:rsid w:val="001A6D9E"/>
    <w:rsid w:val="001A6EE5"/>
    <w:rsid w:val="001A7336"/>
    <w:rsid w:val="001A79F0"/>
    <w:rsid w:val="001A7ABF"/>
    <w:rsid w:val="001A7B57"/>
    <w:rsid w:val="001B0422"/>
    <w:rsid w:val="001B0527"/>
    <w:rsid w:val="001B0B75"/>
    <w:rsid w:val="001B11DB"/>
    <w:rsid w:val="001B1712"/>
    <w:rsid w:val="001B23D7"/>
    <w:rsid w:val="001B2CCD"/>
    <w:rsid w:val="001B2E46"/>
    <w:rsid w:val="001B368C"/>
    <w:rsid w:val="001B39B6"/>
    <w:rsid w:val="001B3E20"/>
    <w:rsid w:val="001B3E23"/>
    <w:rsid w:val="001B41F1"/>
    <w:rsid w:val="001B45E9"/>
    <w:rsid w:val="001B5250"/>
    <w:rsid w:val="001B5333"/>
    <w:rsid w:val="001B5475"/>
    <w:rsid w:val="001B5777"/>
    <w:rsid w:val="001B5DA1"/>
    <w:rsid w:val="001B615F"/>
    <w:rsid w:val="001B671C"/>
    <w:rsid w:val="001B67CD"/>
    <w:rsid w:val="001B76E3"/>
    <w:rsid w:val="001C05F6"/>
    <w:rsid w:val="001C0626"/>
    <w:rsid w:val="001C0737"/>
    <w:rsid w:val="001C0900"/>
    <w:rsid w:val="001C0E1E"/>
    <w:rsid w:val="001C11ED"/>
    <w:rsid w:val="001C1362"/>
    <w:rsid w:val="001C13F5"/>
    <w:rsid w:val="001C1857"/>
    <w:rsid w:val="001C1ED1"/>
    <w:rsid w:val="001C2031"/>
    <w:rsid w:val="001C240D"/>
    <w:rsid w:val="001C2626"/>
    <w:rsid w:val="001C2888"/>
    <w:rsid w:val="001C2923"/>
    <w:rsid w:val="001C29CF"/>
    <w:rsid w:val="001C2D3F"/>
    <w:rsid w:val="001C2ED5"/>
    <w:rsid w:val="001C3644"/>
    <w:rsid w:val="001C3A0F"/>
    <w:rsid w:val="001C3B14"/>
    <w:rsid w:val="001C3BBC"/>
    <w:rsid w:val="001C3E57"/>
    <w:rsid w:val="001C433F"/>
    <w:rsid w:val="001C4438"/>
    <w:rsid w:val="001C4545"/>
    <w:rsid w:val="001C4569"/>
    <w:rsid w:val="001C45BD"/>
    <w:rsid w:val="001C4767"/>
    <w:rsid w:val="001C4836"/>
    <w:rsid w:val="001C5592"/>
    <w:rsid w:val="001C5902"/>
    <w:rsid w:val="001C5D57"/>
    <w:rsid w:val="001C617F"/>
    <w:rsid w:val="001C6EFB"/>
    <w:rsid w:val="001C71B9"/>
    <w:rsid w:val="001C73D9"/>
    <w:rsid w:val="001C755E"/>
    <w:rsid w:val="001C758F"/>
    <w:rsid w:val="001C7F57"/>
    <w:rsid w:val="001D0137"/>
    <w:rsid w:val="001D0167"/>
    <w:rsid w:val="001D0B4C"/>
    <w:rsid w:val="001D0CC5"/>
    <w:rsid w:val="001D0DC2"/>
    <w:rsid w:val="001D0DE0"/>
    <w:rsid w:val="001D14B6"/>
    <w:rsid w:val="001D1C58"/>
    <w:rsid w:val="001D204C"/>
    <w:rsid w:val="001D236A"/>
    <w:rsid w:val="001D26EE"/>
    <w:rsid w:val="001D272E"/>
    <w:rsid w:val="001D27AC"/>
    <w:rsid w:val="001D2E41"/>
    <w:rsid w:val="001D2FC9"/>
    <w:rsid w:val="001D399B"/>
    <w:rsid w:val="001D3F8F"/>
    <w:rsid w:val="001D464F"/>
    <w:rsid w:val="001D4B80"/>
    <w:rsid w:val="001D5320"/>
    <w:rsid w:val="001D5A9B"/>
    <w:rsid w:val="001D5AEB"/>
    <w:rsid w:val="001D5C0C"/>
    <w:rsid w:val="001D60FF"/>
    <w:rsid w:val="001D6650"/>
    <w:rsid w:val="001D6D54"/>
    <w:rsid w:val="001D6D67"/>
    <w:rsid w:val="001D6D7A"/>
    <w:rsid w:val="001D7331"/>
    <w:rsid w:val="001D73B5"/>
    <w:rsid w:val="001E044A"/>
    <w:rsid w:val="001E06C9"/>
    <w:rsid w:val="001E0B57"/>
    <w:rsid w:val="001E0E7A"/>
    <w:rsid w:val="001E0FB2"/>
    <w:rsid w:val="001E16EA"/>
    <w:rsid w:val="001E1CCE"/>
    <w:rsid w:val="001E243D"/>
    <w:rsid w:val="001E2AA7"/>
    <w:rsid w:val="001E3256"/>
    <w:rsid w:val="001E3DF5"/>
    <w:rsid w:val="001E3FA1"/>
    <w:rsid w:val="001E4008"/>
    <w:rsid w:val="001E41D2"/>
    <w:rsid w:val="001E45BD"/>
    <w:rsid w:val="001E5F1D"/>
    <w:rsid w:val="001E6276"/>
    <w:rsid w:val="001E628D"/>
    <w:rsid w:val="001E67AC"/>
    <w:rsid w:val="001E6901"/>
    <w:rsid w:val="001E6E89"/>
    <w:rsid w:val="001E708A"/>
    <w:rsid w:val="001E7124"/>
    <w:rsid w:val="001E715E"/>
    <w:rsid w:val="001E786A"/>
    <w:rsid w:val="001E7A08"/>
    <w:rsid w:val="001E7F8D"/>
    <w:rsid w:val="001F01CC"/>
    <w:rsid w:val="001F128F"/>
    <w:rsid w:val="001F195F"/>
    <w:rsid w:val="001F1A60"/>
    <w:rsid w:val="001F20FE"/>
    <w:rsid w:val="001F2158"/>
    <w:rsid w:val="001F23D0"/>
    <w:rsid w:val="001F25DE"/>
    <w:rsid w:val="001F37EE"/>
    <w:rsid w:val="001F3BA2"/>
    <w:rsid w:val="001F3BB7"/>
    <w:rsid w:val="001F3CE5"/>
    <w:rsid w:val="001F3E18"/>
    <w:rsid w:val="001F4188"/>
    <w:rsid w:val="001F4777"/>
    <w:rsid w:val="001F4779"/>
    <w:rsid w:val="001F4CAA"/>
    <w:rsid w:val="001F4E89"/>
    <w:rsid w:val="001F55EF"/>
    <w:rsid w:val="001F5A72"/>
    <w:rsid w:val="001F63DA"/>
    <w:rsid w:val="001F66D4"/>
    <w:rsid w:val="001F6931"/>
    <w:rsid w:val="001F6E02"/>
    <w:rsid w:val="001F6EEB"/>
    <w:rsid w:val="001F70D5"/>
    <w:rsid w:val="001F7457"/>
    <w:rsid w:val="001F789E"/>
    <w:rsid w:val="001F7F0E"/>
    <w:rsid w:val="00201158"/>
    <w:rsid w:val="002011B8"/>
    <w:rsid w:val="002016BD"/>
    <w:rsid w:val="00202460"/>
    <w:rsid w:val="002025B3"/>
    <w:rsid w:val="00202FA8"/>
    <w:rsid w:val="0020349C"/>
    <w:rsid w:val="00203B9C"/>
    <w:rsid w:val="00203D92"/>
    <w:rsid w:val="00204541"/>
    <w:rsid w:val="00204675"/>
    <w:rsid w:val="00204AC2"/>
    <w:rsid w:val="00204B4A"/>
    <w:rsid w:val="00205054"/>
    <w:rsid w:val="00205219"/>
    <w:rsid w:val="002054FE"/>
    <w:rsid w:val="002056F3"/>
    <w:rsid w:val="00206880"/>
    <w:rsid w:val="00206CB4"/>
    <w:rsid w:val="002077E4"/>
    <w:rsid w:val="002078A7"/>
    <w:rsid w:val="00207A2D"/>
    <w:rsid w:val="00207BA3"/>
    <w:rsid w:val="00207BF3"/>
    <w:rsid w:val="00207CF4"/>
    <w:rsid w:val="00207F18"/>
    <w:rsid w:val="002102E0"/>
    <w:rsid w:val="002103C9"/>
    <w:rsid w:val="00210422"/>
    <w:rsid w:val="0021043A"/>
    <w:rsid w:val="00210A6C"/>
    <w:rsid w:val="00210A6F"/>
    <w:rsid w:val="002114AE"/>
    <w:rsid w:val="00211926"/>
    <w:rsid w:val="0021193F"/>
    <w:rsid w:val="00211F14"/>
    <w:rsid w:val="0021274C"/>
    <w:rsid w:val="00212E9F"/>
    <w:rsid w:val="00212F47"/>
    <w:rsid w:val="00213744"/>
    <w:rsid w:val="00213780"/>
    <w:rsid w:val="0021399C"/>
    <w:rsid w:val="002139BE"/>
    <w:rsid w:val="00213F3B"/>
    <w:rsid w:val="0021407C"/>
    <w:rsid w:val="00214165"/>
    <w:rsid w:val="00214346"/>
    <w:rsid w:val="002148D4"/>
    <w:rsid w:val="0021494B"/>
    <w:rsid w:val="00214AC5"/>
    <w:rsid w:val="00214B8A"/>
    <w:rsid w:val="00214EBE"/>
    <w:rsid w:val="00215005"/>
    <w:rsid w:val="002158FB"/>
    <w:rsid w:val="00215AC4"/>
    <w:rsid w:val="00215B5D"/>
    <w:rsid w:val="00215EC2"/>
    <w:rsid w:val="0021604C"/>
    <w:rsid w:val="00216281"/>
    <w:rsid w:val="00216779"/>
    <w:rsid w:val="00216E38"/>
    <w:rsid w:val="00216F42"/>
    <w:rsid w:val="00217027"/>
    <w:rsid w:val="0021723D"/>
    <w:rsid w:val="00217817"/>
    <w:rsid w:val="002205FB"/>
    <w:rsid w:val="00220613"/>
    <w:rsid w:val="002208A6"/>
    <w:rsid w:val="002208D1"/>
    <w:rsid w:val="00220DAE"/>
    <w:rsid w:val="00221333"/>
    <w:rsid w:val="0022145F"/>
    <w:rsid w:val="0022176C"/>
    <w:rsid w:val="00221A4C"/>
    <w:rsid w:val="00221ABA"/>
    <w:rsid w:val="00221EC6"/>
    <w:rsid w:val="002221A0"/>
    <w:rsid w:val="00222552"/>
    <w:rsid w:val="00222699"/>
    <w:rsid w:val="002226A0"/>
    <w:rsid w:val="00222B29"/>
    <w:rsid w:val="00222F2B"/>
    <w:rsid w:val="00224193"/>
    <w:rsid w:val="002241E1"/>
    <w:rsid w:val="00224318"/>
    <w:rsid w:val="00224824"/>
    <w:rsid w:val="0022489B"/>
    <w:rsid w:val="00224E07"/>
    <w:rsid w:val="00225546"/>
    <w:rsid w:val="00225E8C"/>
    <w:rsid w:val="00225EE0"/>
    <w:rsid w:val="002262EF"/>
    <w:rsid w:val="002263B2"/>
    <w:rsid w:val="00226655"/>
    <w:rsid w:val="00226713"/>
    <w:rsid w:val="00226CA7"/>
    <w:rsid w:val="002276D0"/>
    <w:rsid w:val="0022778C"/>
    <w:rsid w:val="00227BC4"/>
    <w:rsid w:val="00227F06"/>
    <w:rsid w:val="00230CE2"/>
    <w:rsid w:val="002314D9"/>
    <w:rsid w:val="00231A94"/>
    <w:rsid w:val="0023296B"/>
    <w:rsid w:val="00232A62"/>
    <w:rsid w:val="00232CBC"/>
    <w:rsid w:val="00233616"/>
    <w:rsid w:val="00233FA6"/>
    <w:rsid w:val="00233FB8"/>
    <w:rsid w:val="00234155"/>
    <w:rsid w:val="00234427"/>
    <w:rsid w:val="00234A4D"/>
    <w:rsid w:val="00234A4E"/>
    <w:rsid w:val="00234B3D"/>
    <w:rsid w:val="00234CA0"/>
    <w:rsid w:val="00234D0C"/>
    <w:rsid w:val="00234D43"/>
    <w:rsid w:val="00234D73"/>
    <w:rsid w:val="00235060"/>
    <w:rsid w:val="002351D7"/>
    <w:rsid w:val="00235479"/>
    <w:rsid w:val="002357F7"/>
    <w:rsid w:val="00235BE3"/>
    <w:rsid w:val="00235FD3"/>
    <w:rsid w:val="00236357"/>
    <w:rsid w:val="00236369"/>
    <w:rsid w:val="002364DF"/>
    <w:rsid w:val="002366D1"/>
    <w:rsid w:val="002367B1"/>
    <w:rsid w:val="00236D01"/>
    <w:rsid w:val="00236D0F"/>
    <w:rsid w:val="00236F46"/>
    <w:rsid w:val="00237326"/>
    <w:rsid w:val="002373E1"/>
    <w:rsid w:val="00240061"/>
    <w:rsid w:val="00240088"/>
    <w:rsid w:val="0024008B"/>
    <w:rsid w:val="00240268"/>
    <w:rsid w:val="002407ED"/>
    <w:rsid w:val="00240B7E"/>
    <w:rsid w:val="002413D6"/>
    <w:rsid w:val="0024156F"/>
    <w:rsid w:val="002419CC"/>
    <w:rsid w:val="00241D11"/>
    <w:rsid w:val="002420C1"/>
    <w:rsid w:val="00242557"/>
    <w:rsid w:val="00242718"/>
    <w:rsid w:val="002427CF"/>
    <w:rsid w:val="00242846"/>
    <w:rsid w:val="00242979"/>
    <w:rsid w:val="002429D5"/>
    <w:rsid w:val="00242B4E"/>
    <w:rsid w:val="00242E09"/>
    <w:rsid w:val="0024320A"/>
    <w:rsid w:val="00243410"/>
    <w:rsid w:val="002439A3"/>
    <w:rsid w:val="00243D1F"/>
    <w:rsid w:val="00243EC5"/>
    <w:rsid w:val="00243F74"/>
    <w:rsid w:val="00244586"/>
    <w:rsid w:val="00244B52"/>
    <w:rsid w:val="00244D9B"/>
    <w:rsid w:val="002452F5"/>
    <w:rsid w:val="00245897"/>
    <w:rsid w:val="00246347"/>
    <w:rsid w:val="00246557"/>
    <w:rsid w:val="002469B6"/>
    <w:rsid w:val="00246AEF"/>
    <w:rsid w:val="00246ED7"/>
    <w:rsid w:val="002470BB"/>
    <w:rsid w:val="00247330"/>
    <w:rsid w:val="00247A64"/>
    <w:rsid w:val="00251402"/>
    <w:rsid w:val="00251A2E"/>
    <w:rsid w:val="00251E9A"/>
    <w:rsid w:val="00251FC5"/>
    <w:rsid w:val="002524A0"/>
    <w:rsid w:val="00252931"/>
    <w:rsid w:val="002529AB"/>
    <w:rsid w:val="00253075"/>
    <w:rsid w:val="002535CE"/>
    <w:rsid w:val="0025364B"/>
    <w:rsid w:val="00253780"/>
    <w:rsid w:val="00253949"/>
    <w:rsid w:val="00253D64"/>
    <w:rsid w:val="00253F26"/>
    <w:rsid w:val="0025430C"/>
    <w:rsid w:val="0025442E"/>
    <w:rsid w:val="00254B2C"/>
    <w:rsid w:val="00254FFA"/>
    <w:rsid w:val="00255076"/>
    <w:rsid w:val="00255DE0"/>
    <w:rsid w:val="0025712D"/>
    <w:rsid w:val="00257C56"/>
    <w:rsid w:val="0026040E"/>
    <w:rsid w:val="002608FB"/>
    <w:rsid w:val="002611B9"/>
    <w:rsid w:val="00261480"/>
    <w:rsid w:val="00261D15"/>
    <w:rsid w:val="00262553"/>
    <w:rsid w:val="00262756"/>
    <w:rsid w:val="00262A11"/>
    <w:rsid w:val="00262B45"/>
    <w:rsid w:val="00263176"/>
    <w:rsid w:val="0026327B"/>
    <w:rsid w:val="00263A01"/>
    <w:rsid w:val="0026426E"/>
    <w:rsid w:val="002646F4"/>
    <w:rsid w:val="002649E0"/>
    <w:rsid w:val="00264DAA"/>
    <w:rsid w:val="00264E6F"/>
    <w:rsid w:val="00264FD6"/>
    <w:rsid w:val="0026582D"/>
    <w:rsid w:val="00265B59"/>
    <w:rsid w:val="002666A5"/>
    <w:rsid w:val="0026676A"/>
    <w:rsid w:val="00267188"/>
    <w:rsid w:val="002671DE"/>
    <w:rsid w:val="00267502"/>
    <w:rsid w:val="00267E15"/>
    <w:rsid w:val="00270461"/>
    <w:rsid w:val="0027091A"/>
    <w:rsid w:val="00270C32"/>
    <w:rsid w:val="00270D81"/>
    <w:rsid w:val="00270DD1"/>
    <w:rsid w:val="002714F1"/>
    <w:rsid w:val="00271ADC"/>
    <w:rsid w:val="00271EF2"/>
    <w:rsid w:val="0027239A"/>
    <w:rsid w:val="0027271C"/>
    <w:rsid w:val="0027276D"/>
    <w:rsid w:val="00272C65"/>
    <w:rsid w:val="00273178"/>
    <w:rsid w:val="0027353F"/>
    <w:rsid w:val="0027369E"/>
    <w:rsid w:val="00273AAF"/>
    <w:rsid w:val="0027411D"/>
    <w:rsid w:val="00274163"/>
    <w:rsid w:val="0027433D"/>
    <w:rsid w:val="00274CB8"/>
    <w:rsid w:val="00274E8A"/>
    <w:rsid w:val="0027554E"/>
    <w:rsid w:val="002756E6"/>
    <w:rsid w:val="0027591B"/>
    <w:rsid w:val="00275F31"/>
    <w:rsid w:val="00276369"/>
    <w:rsid w:val="00276849"/>
    <w:rsid w:val="00280879"/>
    <w:rsid w:val="002809C9"/>
    <w:rsid w:val="00280FE5"/>
    <w:rsid w:val="00281708"/>
    <w:rsid w:val="00281AF5"/>
    <w:rsid w:val="00281ECB"/>
    <w:rsid w:val="00281F91"/>
    <w:rsid w:val="002822B1"/>
    <w:rsid w:val="00282E56"/>
    <w:rsid w:val="002833DB"/>
    <w:rsid w:val="00283972"/>
    <w:rsid w:val="00283C71"/>
    <w:rsid w:val="00283D2D"/>
    <w:rsid w:val="0028455F"/>
    <w:rsid w:val="00284748"/>
    <w:rsid w:val="00284B29"/>
    <w:rsid w:val="00284E0D"/>
    <w:rsid w:val="00285563"/>
    <w:rsid w:val="002856EF"/>
    <w:rsid w:val="00285F64"/>
    <w:rsid w:val="00286035"/>
    <w:rsid w:val="002861F0"/>
    <w:rsid w:val="002868C4"/>
    <w:rsid w:val="00286B9D"/>
    <w:rsid w:val="002871DD"/>
    <w:rsid w:val="00287252"/>
    <w:rsid w:val="00287B67"/>
    <w:rsid w:val="00290114"/>
    <w:rsid w:val="00290301"/>
    <w:rsid w:val="0029081C"/>
    <w:rsid w:val="00291149"/>
    <w:rsid w:val="0029126E"/>
    <w:rsid w:val="00291DA7"/>
    <w:rsid w:val="00291DF3"/>
    <w:rsid w:val="0029224B"/>
    <w:rsid w:val="002922BC"/>
    <w:rsid w:val="002924B0"/>
    <w:rsid w:val="0029267D"/>
    <w:rsid w:val="0029277A"/>
    <w:rsid w:val="00292D96"/>
    <w:rsid w:val="00293477"/>
    <w:rsid w:val="00293819"/>
    <w:rsid w:val="00293CF3"/>
    <w:rsid w:val="00293DE1"/>
    <w:rsid w:val="00294524"/>
    <w:rsid w:val="00295AF6"/>
    <w:rsid w:val="00295F43"/>
    <w:rsid w:val="002963BA"/>
    <w:rsid w:val="00296609"/>
    <w:rsid w:val="00296648"/>
    <w:rsid w:val="00296A84"/>
    <w:rsid w:val="00296F33"/>
    <w:rsid w:val="002971C6"/>
    <w:rsid w:val="002976CF"/>
    <w:rsid w:val="002977BA"/>
    <w:rsid w:val="0029787D"/>
    <w:rsid w:val="00297DDF"/>
    <w:rsid w:val="002A048F"/>
    <w:rsid w:val="002A087B"/>
    <w:rsid w:val="002A0C7B"/>
    <w:rsid w:val="002A0D15"/>
    <w:rsid w:val="002A0D74"/>
    <w:rsid w:val="002A12AC"/>
    <w:rsid w:val="002A1F2E"/>
    <w:rsid w:val="002A2B79"/>
    <w:rsid w:val="002A2F6E"/>
    <w:rsid w:val="002A392A"/>
    <w:rsid w:val="002A39EF"/>
    <w:rsid w:val="002A3ABA"/>
    <w:rsid w:val="002A3DD2"/>
    <w:rsid w:val="002A3E9E"/>
    <w:rsid w:val="002A3FD3"/>
    <w:rsid w:val="002A4531"/>
    <w:rsid w:val="002A52A9"/>
    <w:rsid w:val="002A5529"/>
    <w:rsid w:val="002A58A0"/>
    <w:rsid w:val="002A5BD8"/>
    <w:rsid w:val="002A62C4"/>
    <w:rsid w:val="002A6399"/>
    <w:rsid w:val="002A6507"/>
    <w:rsid w:val="002A6537"/>
    <w:rsid w:val="002A6D1F"/>
    <w:rsid w:val="002A7047"/>
    <w:rsid w:val="002A708A"/>
    <w:rsid w:val="002A724A"/>
    <w:rsid w:val="002A79AE"/>
    <w:rsid w:val="002B05B0"/>
    <w:rsid w:val="002B0664"/>
    <w:rsid w:val="002B0CBB"/>
    <w:rsid w:val="002B17E5"/>
    <w:rsid w:val="002B19F8"/>
    <w:rsid w:val="002B1B58"/>
    <w:rsid w:val="002B27BB"/>
    <w:rsid w:val="002B282E"/>
    <w:rsid w:val="002B2BE0"/>
    <w:rsid w:val="002B30BC"/>
    <w:rsid w:val="002B3183"/>
    <w:rsid w:val="002B36F6"/>
    <w:rsid w:val="002B37AF"/>
    <w:rsid w:val="002B3DDA"/>
    <w:rsid w:val="002B40F8"/>
    <w:rsid w:val="002B4A9F"/>
    <w:rsid w:val="002B4AD8"/>
    <w:rsid w:val="002B4CCD"/>
    <w:rsid w:val="002B4CE4"/>
    <w:rsid w:val="002B5028"/>
    <w:rsid w:val="002B50A3"/>
    <w:rsid w:val="002B5726"/>
    <w:rsid w:val="002B6495"/>
    <w:rsid w:val="002B72E2"/>
    <w:rsid w:val="002B7544"/>
    <w:rsid w:val="002C08FA"/>
    <w:rsid w:val="002C0A47"/>
    <w:rsid w:val="002C0B45"/>
    <w:rsid w:val="002C0C82"/>
    <w:rsid w:val="002C155F"/>
    <w:rsid w:val="002C15F7"/>
    <w:rsid w:val="002C17AE"/>
    <w:rsid w:val="002C2955"/>
    <w:rsid w:val="002C2A67"/>
    <w:rsid w:val="002C2D0A"/>
    <w:rsid w:val="002C39D8"/>
    <w:rsid w:val="002C451D"/>
    <w:rsid w:val="002C49FE"/>
    <w:rsid w:val="002C4C99"/>
    <w:rsid w:val="002C5A35"/>
    <w:rsid w:val="002C5D59"/>
    <w:rsid w:val="002C6144"/>
    <w:rsid w:val="002C651B"/>
    <w:rsid w:val="002C6662"/>
    <w:rsid w:val="002C67D7"/>
    <w:rsid w:val="002C6A6C"/>
    <w:rsid w:val="002C6CD6"/>
    <w:rsid w:val="002C6CDC"/>
    <w:rsid w:val="002C73E1"/>
    <w:rsid w:val="002C75D0"/>
    <w:rsid w:val="002C78FC"/>
    <w:rsid w:val="002C7B94"/>
    <w:rsid w:val="002C7CE7"/>
    <w:rsid w:val="002C7F7A"/>
    <w:rsid w:val="002D05BF"/>
    <w:rsid w:val="002D1184"/>
    <w:rsid w:val="002D1499"/>
    <w:rsid w:val="002D1CD8"/>
    <w:rsid w:val="002D2412"/>
    <w:rsid w:val="002D25B7"/>
    <w:rsid w:val="002D290D"/>
    <w:rsid w:val="002D29E8"/>
    <w:rsid w:val="002D2C51"/>
    <w:rsid w:val="002D2C67"/>
    <w:rsid w:val="002D2C75"/>
    <w:rsid w:val="002D2CE2"/>
    <w:rsid w:val="002D3402"/>
    <w:rsid w:val="002D3541"/>
    <w:rsid w:val="002D3C86"/>
    <w:rsid w:val="002D48D3"/>
    <w:rsid w:val="002D4CDA"/>
    <w:rsid w:val="002D4D89"/>
    <w:rsid w:val="002D5267"/>
    <w:rsid w:val="002D5394"/>
    <w:rsid w:val="002D5A79"/>
    <w:rsid w:val="002D5EF3"/>
    <w:rsid w:val="002D72A1"/>
    <w:rsid w:val="002D73C0"/>
    <w:rsid w:val="002D753A"/>
    <w:rsid w:val="002D76A0"/>
    <w:rsid w:val="002D772A"/>
    <w:rsid w:val="002E03C9"/>
    <w:rsid w:val="002E098F"/>
    <w:rsid w:val="002E0E17"/>
    <w:rsid w:val="002E1137"/>
    <w:rsid w:val="002E116E"/>
    <w:rsid w:val="002E1A13"/>
    <w:rsid w:val="002E1C21"/>
    <w:rsid w:val="002E1C87"/>
    <w:rsid w:val="002E1E9E"/>
    <w:rsid w:val="002E2796"/>
    <w:rsid w:val="002E306C"/>
    <w:rsid w:val="002E338F"/>
    <w:rsid w:val="002E35E4"/>
    <w:rsid w:val="002E3D6D"/>
    <w:rsid w:val="002E4498"/>
    <w:rsid w:val="002E4C66"/>
    <w:rsid w:val="002E57F2"/>
    <w:rsid w:val="002E5C4E"/>
    <w:rsid w:val="002E5E3A"/>
    <w:rsid w:val="002E64AD"/>
    <w:rsid w:val="002E64F5"/>
    <w:rsid w:val="002E6BD1"/>
    <w:rsid w:val="002E76A2"/>
    <w:rsid w:val="002E7C18"/>
    <w:rsid w:val="002F04CE"/>
    <w:rsid w:val="002F0510"/>
    <w:rsid w:val="002F0695"/>
    <w:rsid w:val="002F0A5A"/>
    <w:rsid w:val="002F1AC8"/>
    <w:rsid w:val="002F2547"/>
    <w:rsid w:val="002F277F"/>
    <w:rsid w:val="002F2971"/>
    <w:rsid w:val="002F3BDB"/>
    <w:rsid w:val="002F3D26"/>
    <w:rsid w:val="002F3D4A"/>
    <w:rsid w:val="002F42D8"/>
    <w:rsid w:val="002F4791"/>
    <w:rsid w:val="002F4895"/>
    <w:rsid w:val="002F4A2E"/>
    <w:rsid w:val="002F4CE3"/>
    <w:rsid w:val="002F4DDD"/>
    <w:rsid w:val="002F50E4"/>
    <w:rsid w:val="002F510B"/>
    <w:rsid w:val="002F5551"/>
    <w:rsid w:val="002F59A9"/>
    <w:rsid w:val="002F5A61"/>
    <w:rsid w:val="002F5C7E"/>
    <w:rsid w:val="002F60AF"/>
    <w:rsid w:val="002F64C9"/>
    <w:rsid w:val="002F6893"/>
    <w:rsid w:val="002F6FB4"/>
    <w:rsid w:val="002F7AC2"/>
    <w:rsid w:val="002F7B7A"/>
    <w:rsid w:val="00300080"/>
    <w:rsid w:val="0030050E"/>
    <w:rsid w:val="00300553"/>
    <w:rsid w:val="003005E5"/>
    <w:rsid w:val="003007B7"/>
    <w:rsid w:val="00300C04"/>
    <w:rsid w:val="00300CF3"/>
    <w:rsid w:val="00300E5F"/>
    <w:rsid w:val="0030162A"/>
    <w:rsid w:val="0030191A"/>
    <w:rsid w:val="00301C83"/>
    <w:rsid w:val="00301D19"/>
    <w:rsid w:val="00301E80"/>
    <w:rsid w:val="00302BBF"/>
    <w:rsid w:val="00302BEC"/>
    <w:rsid w:val="00302CB5"/>
    <w:rsid w:val="00302D36"/>
    <w:rsid w:val="00302DFA"/>
    <w:rsid w:val="0030329B"/>
    <w:rsid w:val="003033BB"/>
    <w:rsid w:val="0030387B"/>
    <w:rsid w:val="00303A0F"/>
    <w:rsid w:val="00303E41"/>
    <w:rsid w:val="003043E7"/>
    <w:rsid w:val="003045CC"/>
    <w:rsid w:val="0030486A"/>
    <w:rsid w:val="003049C0"/>
    <w:rsid w:val="00304B26"/>
    <w:rsid w:val="00304FDE"/>
    <w:rsid w:val="0030510C"/>
    <w:rsid w:val="003059A8"/>
    <w:rsid w:val="00305B95"/>
    <w:rsid w:val="00305DD7"/>
    <w:rsid w:val="003067AC"/>
    <w:rsid w:val="00306AF3"/>
    <w:rsid w:val="00307293"/>
    <w:rsid w:val="003077B5"/>
    <w:rsid w:val="00307BA9"/>
    <w:rsid w:val="0031041B"/>
    <w:rsid w:val="00310637"/>
    <w:rsid w:val="00310786"/>
    <w:rsid w:val="00310AA4"/>
    <w:rsid w:val="00310E9F"/>
    <w:rsid w:val="00310ECA"/>
    <w:rsid w:val="00311158"/>
    <w:rsid w:val="003114DE"/>
    <w:rsid w:val="00311556"/>
    <w:rsid w:val="003115CF"/>
    <w:rsid w:val="0031269D"/>
    <w:rsid w:val="00312B0B"/>
    <w:rsid w:val="00312C74"/>
    <w:rsid w:val="00312E83"/>
    <w:rsid w:val="00313155"/>
    <w:rsid w:val="00313368"/>
    <w:rsid w:val="0031374B"/>
    <w:rsid w:val="00313C3A"/>
    <w:rsid w:val="00314610"/>
    <w:rsid w:val="003149DA"/>
    <w:rsid w:val="00314E87"/>
    <w:rsid w:val="00315C2C"/>
    <w:rsid w:val="00315F1C"/>
    <w:rsid w:val="003160BD"/>
    <w:rsid w:val="00316FD6"/>
    <w:rsid w:val="003174F8"/>
    <w:rsid w:val="00317670"/>
    <w:rsid w:val="00317BDB"/>
    <w:rsid w:val="00317BFA"/>
    <w:rsid w:val="0032064B"/>
    <w:rsid w:val="00320991"/>
    <w:rsid w:val="00320BFF"/>
    <w:rsid w:val="00320C55"/>
    <w:rsid w:val="00320E77"/>
    <w:rsid w:val="00320F4C"/>
    <w:rsid w:val="003210C9"/>
    <w:rsid w:val="00321634"/>
    <w:rsid w:val="0032194E"/>
    <w:rsid w:val="00321976"/>
    <w:rsid w:val="00321ABF"/>
    <w:rsid w:val="00321B0D"/>
    <w:rsid w:val="00321F4F"/>
    <w:rsid w:val="0032200F"/>
    <w:rsid w:val="003221E9"/>
    <w:rsid w:val="00322230"/>
    <w:rsid w:val="00323383"/>
    <w:rsid w:val="00323DAE"/>
    <w:rsid w:val="003248A5"/>
    <w:rsid w:val="00324DC6"/>
    <w:rsid w:val="003253C2"/>
    <w:rsid w:val="003256BA"/>
    <w:rsid w:val="00325718"/>
    <w:rsid w:val="003261AE"/>
    <w:rsid w:val="003261D2"/>
    <w:rsid w:val="003268A1"/>
    <w:rsid w:val="00327663"/>
    <w:rsid w:val="0032778E"/>
    <w:rsid w:val="003277FA"/>
    <w:rsid w:val="00327C49"/>
    <w:rsid w:val="00327CD2"/>
    <w:rsid w:val="0033021A"/>
    <w:rsid w:val="00330308"/>
    <w:rsid w:val="00330AF1"/>
    <w:rsid w:val="00330E20"/>
    <w:rsid w:val="0033106F"/>
    <w:rsid w:val="003316CC"/>
    <w:rsid w:val="0033170E"/>
    <w:rsid w:val="003319CA"/>
    <w:rsid w:val="003319D6"/>
    <w:rsid w:val="00331F88"/>
    <w:rsid w:val="00333068"/>
    <w:rsid w:val="00333644"/>
    <w:rsid w:val="00334285"/>
    <w:rsid w:val="00334C68"/>
    <w:rsid w:val="00334E5D"/>
    <w:rsid w:val="003350FA"/>
    <w:rsid w:val="00335285"/>
    <w:rsid w:val="00335473"/>
    <w:rsid w:val="0033564B"/>
    <w:rsid w:val="003358D3"/>
    <w:rsid w:val="00335E73"/>
    <w:rsid w:val="003366A9"/>
    <w:rsid w:val="003368FA"/>
    <w:rsid w:val="00336A7D"/>
    <w:rsid w:val="00336B1D"/>
    <w:rsid w:val="00336E1E"/>
    <w:rsid w:val="00336E2C"/>
    <w:rsid w:val="0033700A"/>
    <w:rsid w:val="00337376"/>
    <w:rsid w:val="00337392"/>
    <w:rsid w:val="0033742F"/>
    <w:rsid w:val="0033787A"/>
    <w:rsid w:val="00337CA4"/>
    <w:rsid w:val="00340356"/>
    <w:rsid w:val="00340672"/>
    <w:rsid w:val="00341308"/>
    <w:rsid w:val="0034188A"/>
    <w:rsid w:val="0034196E"/>
    <w:rsid w:val="00341A0C"/>
    <w:rsid w:val="00341A26"/>
    <w:rsid w:val="00341FEE"/>
    <w:rsid w:val="0034224B"/>
    <w:rsid w:val="003423BD"/>
    <w:rsid w:val="00342D4C"/>
    <w:rsid w:val="00343505"/>
    <w:rsid w:val="0034379E"/>
    <w:rsid w:val="0034382F"/>
    <w:rsid w:val="00343A38"/>
    <w:rsid w:val="00343A85"/>
    <w:rsid w:val="00343ABB"/>
    <w:rsid w:val="00344F06"/>
    <w:rsid w:val="0034520C"/>
    <w:rsid w:val="0034565E"/>
    <w:rsid w:val="003457C0"/>
    <w:rsid w:val="00346253"/>
    <w:rsid w:val="0034631F"/>
    <w:rsid w:val="00346AA1"/>
    <w:rsid w:val="0034700A"/>
    <w:rsid w:val="00347EE6"/>
    <w:rsid w:val="00350137"/>
    <w:rsid w:val="003501D7"/>
    <w:rsid w:val="003502B8"/>
    <w:rsid w:val="0035040E"/>
    <w:rsid w:val="003510A0"/>
    <w:rsid w:val="00351395"/>
    <w:rsid w:val="00351A29"/>
    <w:rsid w:val="00351AC5"/>
    <w:rsid w:val="00351C5D"/>
    <w:rsid w:val="00351CC7"/>
    <w:rsid w:val="00351E47"/>
    <w:rsid w:val="00351F7E"/>
    <w:rsid w:val="0035212F"/>
    <w:rsid w:val="00352553"/>
    <w:rsid w:val="003527A6"/>
    <w:rsid w:val="00352B77"/>
    <w:rsid w:val="00353206"/>
    <w:rsid w:val="0035331A"/>
    <w:rsid w:val="003533AF"/>
    <w:rsid w:val="003536E2"/>
    <w:rsid w:val="0035393D"/>
    <w:rsid w:val="00353AE8"/>
    <w:rsid w:val="00353BCE"/>
    <w:rsid w:val="00353EDA"/>
    <w:rsid w:val="0035403F"/>
    <w:rsid w:val="0035431E"/>
    <w:rsid w:val="003544B1"/>
    <w:rsid w:val="00354CC2"/>
    <w:rsid w:val="00354FBA"/>
    <w:rsid w:val="003553FE"/>
    <w:rsid w:val="00355B64"/>
    <w:rsid w:val="00355FC0"/>
    <w:rsid w:val="003566BE"/>
    <w:rsid w:val="0035706C"/>
    <w:rsid w:val="0035788E"/>
    <w:rsid w:val="00357C38"/>
    <w:rsid w:val="00357F7F"/>
    <w:rsid w:val="003600B3"/>
    <w:rsid w:val="003602D6"/>
    <w:rsid w:val="00360500"/>
    <w:rsid w:val="00360898"/>
    <w:rsid w:val="00360BF0"/>
    <w:rsid w:val="00360C04"/>
    <w:rsid w:val="00360CC7"/>
    <w:rsid w:val="00360CFA"/>
    <w:rsid w:val="003613EC"/>
    <w:rsid w:val="003615A1"/>
    <w:rsid w:val="003616B5"/>
    <w:rsid w:val="0036199A"/>
    <w:rsid w:val="00361A81"/>
    <w:rsid w:val="00361BE5"/>
    <w:rsid w:val="00361D51"/>
    <w:rsid w:val="003623A2"/>
    <w:rsid w:val="00362694"/>
    <w:rsid w:val="003628C7"/>
    <w:rsid w:val="00362CF2"/>
    <w:rsid w:val="0036338B"/>
    <w:rsid w:val="003636F9"/>
    <w:rsid w:val="00363730"/>
    <w:rsid w:val="00363D99"/>
    <w:rsid w:val="00363E2D"/>
    <w:rsid w:val="003642A2"/>
    <w:rsid w:val="00364B55"/>
    <w:rsid w:val="003657B6"/>
    <w:rsid w:val="0036596B"/>
    <w:rsid w:val="00365AB2"/>
    <w:rsid w:val="00366060"/>
    <w:rsid w:val="00366BA3"/>
    <w:rsid w:val="0036724C"/>
    <w:rsid w:val="00370153"/>
    <w:rsid w:val="003711D3"/>
    <w:rsid w:val="00371DDF"/>
    <w:rsid w:val="00371E06"/>
    <w:rsid w:val="00371EA4"/>
    <w:rsid w:val="00371FD1"/>
    <w:rsid w:val="00372627"/>
    <w:rsid w:val="00372B9B"/>
    <w:rsid w:val="00372F2D"/>
    <w:rsid w:val="00373EA2"/>
    <w:rsid w:val="003748CA"/>
    <w:rsid w:val="00374B5F"/>
    <w:rsid w:val="00374FC2"/>
    <w:rsid w:val="00375AA7"/>
    <w:rsid w:val="003761C3"/>
    <w:rsid w:val="00376B56"/>
    <w:rsid w:val="00376B60"/>
    <w:rsid w:val="00377BB0"/>
    <w:rsid w:val="00377E88"/>
    <w:rsid w:val="003809A0"/>
    <w:rsid w:val="00380A2B"/>
    <w:rsid w:val="00380A63"/>
    <w:rsid w:val="00381149"/>
    <w:rsid w:val="003813C3"/>
    <w:rsid w:val="003815A5"/>
    <w:rsid w:val="003818BA"/>
    <w:rsid w:val="00381F36"/>
    <w:rsid w:val="00381F52"/>
    <w:rsid w:val="003822E2"/>
    <w:rsid w:val="00382E44"/>
    <w:rsid w:val="0038314E"/>
    <w:rsid w:val="00383442"/>
    <w:rsid w:val="0038387D"/>
    <w:rsid w:val="00383A8D"/>
    <w:rsid w:val="00383CAD"/>
    <w:rsid w:val="0038410D"/>
    <w:rsid w:val="00384B55"/>
    <w:rsid w:val="00385CF7"/>
    <w:rsid w:val="00386086"/>
    <w:rsid w:val="003864D9"/>
    <w:rsid w:val="00386955"/>
    <w:rsid w:val="003869D1"/>
    <w:rsid w:val="00386C1D"/>
    <w:rsid w:val="0038720A"/>
    <w:rsid w:val="00390490"/>
    <w:rsid w:val="00391378"/>
    <w:rsid w:val="00391840"/>
    <w:rsid w:val="00391B6E"/>
    <w:rsid w:val="00392606"/>
    <w:rsid w:val="00392DDF"/>
    <w:rsid w:val="00392F46"/>
    <w:rsid w:val="0039398D"/>
    <w:rsid w:val="00393B7C"/>
    <w:rsid w:val="00393BDA"/>
    <w:rsid w:val="00393E85"/>
    <w:rsid w:val="00394030"/>
    <w:rsid w:val="00394A1C"/>
    <w:rsid w:val="00395632"/>
    <w:rsid w:val="0039674C"/>
    <w:rsid w:val="003968F6"/>
    <w:rsid w:val="00396F88"/>
    <w:rsid w:val="003972BD"/>
    <w:rsid w:val="00397587"/>
    <w:rsid w:val="00397858"/>
    <w:rsid w:val="003A0097"/>
    <w:rsid w:val="003A0313"/>
    <w:rsid w:val="003A0D36"/>
    <w:rsid w:val="003A17D8"/>
    <w:rsid w:val="003A1993"/>
    <w:rsid w:val="003A1D1F"/>
    <w:rsid w:val="003A1F15"/>
    <w:rsid w:val="003A20F8"/>
    <w:rsid w:val="003A2884"/>
    <w:rsid w:val="003A2A2C"/>
    <w:rsid w:val="003A2DA2"/>
    <w:rsid w:val="003A2E7B"/>
    <w:rsid w:val="003A3C66"/>
    <w:rsid w:val="003A3C87"/>
    <w:rsid w:val="003A4003"/>
    <w:rsid w:val="003A44CC"/>
    <w:rsid w:val="003A4537"/>
    <w:rsid w:val="003A4B00"/>
    <w:rsid w:val="003A53F3"/>
    <w:rsid w:val="003A55CD"/>
    <w:rsid w:val="003A5FF3"/>
    <w:rsid w:val="003A6043"/>
    <w:rsid w:val="003A6E85"/>
    <w:rsid w:val="003A77F7"/>
    <w:rsid w:val="003A7ABA"/>
    <w:rsid w:val="003A7D70"/>
    <w:rsid w:val="003A7E0E"/>
    <w:rsid w:val="003A7F1B"/>
    <w:rsid w:val="003A7FAE"/>
    <w:rsid w:val="003B031F"/>
    <w:rsid w:val="003B0630"/>
    <w:rsid w:val="003B0CA5"/>
    <w:rsid w:val="003B1009"/>
    <w:rsid w:val="003B10DC"/>
    <w:rsid w:val="003B19CD"/>
    <w:rsid w:val="003B261D"/>
    <w:rsid w:val="003B2AFE"/>
    <w:rsid w:val="003B2F4F"/>
    <w:rsid w:val="003B3634"/>
    <w:rsid w:val="003B3EF6"/>
    <w:rsid w:val="003B4314"/>
    <w:rsid w:val="003B4B28"/>
    <w:rsid w:val="003B4B99"/>
    <w:rsid w:val="003B4F38"/>
    <w:rsid w:val="003B5463"/>
    <w:rsid w:val="003B55A2"/>
    <w:rsid w:val="003B56AB"/>
    <w:rsid w:val="003B5927"/>
    <w:rsid w:val="003B59C7"/>
    <w:rsid w:val="003B5B00"/>
    <w:rsid w:val="003B5D59"/>
    <w:rsid w:val="003B6134"/>
    <w:rsid w:val="003B684A"/>
    <w:rsid w:val="003B6E4C"/>
    <w:rsid w:val="003B75B6"/>
    <w:rsid w:val="003B78CE"/>
    <w:rsid w:val="003B7DFA"/>
    <w:rsid w:val="003C0402"/>
    <w:rsid w:val="003C0452"/>
    <w:rsid w:val="003C0792"/>
    <w:rsid w:val="003C08A6"/>
    <w:rsid w:val="003C08D0"/>
    <w:rsid w:val="003C0A30"/>
    <w:rsid w:val="003C1B39"/>
    <w:rsid w:val="003C1EE0"/>
    <w:rsid w:val="003C1F51"/>
    <w:rsid w:val="003C21EE"/>
    <w:rsid w:val="003C2276"/>
    <w:rsid w:val="003C261D"/>
    <w:rsid w:val="003C2A92"/>
    <w:rsid w:val="003C3136"/>
    <w:rsid w:val="003C348D"/>
    <w:rsid w:val="003C36B3"/>
    <w:rsid w:val="003C3864"/>
    <w:rsid w:val="003C3D14"/>
    <w:rsid w:val="003C4737"/>
    <w:rsid w:val="003C4CEA"/>
    <w:rsid w:val="003C4EAA"/>
    <w:rsid w:val="003C5106"/>
    <w:rsid w:val="003C5675"/>
    <w:rsid w:val="003C5B73"/>
    <w:rsid w:val="003C5F31"/>
    <w:rsid w:val="003C6126"/>
    <w:rsid w:val="003C612A"/>
    <w:rsid w:val="003C62A4"/>
    <w:rsid w:val="003C65D2"/>
    <w:rsid w:val="003C6823"/>
    <w:rsid w:val="003C683D"/>
    <w:rsid w:val="003C6B9D"/>
    <w:rsid w:val="003C6CEC"/>
    <w:rsid w:val="003C6D5C"/>
    <w:rsid w:val="003C6EC7"/>
    <w:rsid w:val="003C74FE"/>
    <w:rsid w:val="003C7872"/>
    <w:rsid w:val="003C7D95"/>
    <w:rsid w:val="003C7EB4"/>
    <w:rsid w:val="003D01F1"/>
    <w:rsid w:val="003D08F1"/>
    <w:rsid w:val="003D13D8"/>
    <w:rsid w:val="003D13F0"/>
    <w:rsid w:val="003D23C3"/>
    <w:rsid w:val="003D28AA"/>
    <w:rsid w:val="003D2EF9"/>
    <w:rsid w:val="003D2FE4"/>
    <w:rsid w:val="003D3040"/>
    <w:rsid w:val="003D3149"/>
    <w:rsid w:val="003D3B41"/>
    <w:rsid w:val="003D3BF2"/>
    <w:rsid w:val="003D445F"/>
    <w:rsid w:val="003D4516"/>
    <w:rsid w:val="003D46D7"/>
    <w:rsid w:val="003D48D4"/>
    <w:rsid w:val="003D4D50"/>
    <w:rsid w:val="003D4F3D"/>
    <w:rsid w:val="003D5F1C"/>
    <w:rsid w:val="003D608B"/>
    <w:rsid w:val="003D6205"/>
    <w:rsid w:val="003D6A80"/>
    <w:rsid w:val="003D7236"/>
    <w:rsid w:val="003D7EE8"/>
    <w:rsid w:val="003D7FC9"/>
    <w:rsid w:val="003E070A"/>
    <w:rsid w:val="003E088E"/>
    <w:rsid w:val="003E0AF6"/>
    <w:rsid w:val="003E191A"/>
    <w:rsid w:val="003E3068"/>
    <w:rsid w:val="003E318E"/>
    <w:rsid w:val="003E3F07"/>
    <w:rsid w:val="003E4DA3"/>
    <w:rsid w:val="003E4ED6"/>
    <w:rsid w:val="003E4FDA"/>
    <w:rsid w:val="003E5B39"/>
    <w:rsid w:val="003E5D4C"/>
    <w:rsid w:val="003E5FA5"/>
    <w:rsid w:val="003E6063"/>
    <w:rsid w:val="003E61BF"/>
    <w:rsid w:val="003E6342"/>
    <w:rsid w:val="003E668C"/>
    <w:rsid w:val="003E671B"/>
    <w:rsid w:val="003E701F"/>
    <w:rsid w:val="003E72D0"/>
    <w:rsid w:val="003E793B"/>
    <w:rsid w:val="003E7A02"/>
    <w:rsid w:val="003E7CDA"/>
    <w:rsid w:val="003F0957"/>
    <w:rsid w:val="003F0ABE"/>
    <w:rsid w:val="003F17AE"/>
    <w:rsid w:val="003F1BE3"/>
    <w:rsid w:val="003F1C55"/>
    <w:rsid w:val="003F1C75"/>
    <w:rsid w:val="003F3836"/>
    <w:rsid w:val="003F3D76"/>
    <w:rsid w:val="003F4650"/>
    <w:rsid w:val="003F4ABA"/>
    <w:rsid w:val="003F4B5A"/>
    <w:rsid w:val="003F4F12"/>
    <w:rsid w:val="003F588B"/>
    <w:rsid w:val="003F59B2"/>
    <w:rsid w:val="003F5EDB"/>
    <w:rsid w:val="003F6CA8"/>
    <w:rsid w:val="003F7B7A"/>
    <w:rsid w:val="004004F9"/>
    <w:rsid w:val="00400EA4"/>
    <w:rsid w:val="00401322"/>
    <w:rsid w:val="00401CFB"/>
    <w:rsid w:val="00401DBB"/>
    <w:rsid w:val="004025BE"/>
    <w:rsid w:val="004027C0"/>
    <w:rsid w:val="00402C7C"/>
    <w:rsid w:val="00403417"/>
    <w:rsid w:val="00403C88"/>
    <w:rsid w:val="00403D26"/>
    <w:rsid w:val="00403EAD"/>
    <w:rsid w:val="00403FF4"/>
    <w:rsid w:val="004041FB"/>
    <w:rsid w:val="00404B24"/>
    <w:rsid w:val="00404C11"/>
    <w:rsid w:val="00404D1F"/>
    <w:rsid w:val="004053DC"/>
    <w:rsid w:val="00405A68"/>
    <w:rsid w:val="00405EB6"/>
    <w:rsid w:val="0040655D"/>
    <w:rsid w:val="0041050B"/>
    <w:rsid w:val="004105C2"/>
    <w:rsid w:val="0041068F"/>
    <w:rsid w:val="0041075F"/>
    <w:rsid w:val="004108CA"/>
    <w:rsid w:val="00410B29"/>
    <w:rsid w:val="00410EE4"/>
    <w:rsid w:val="004115E2"/>
    <w:rsid w:val="004118CF"/>
    <w:rsid w:val="0041193B"/>
    <w:rsid w:val="004124ED"/>
    <w:rsid w:val="00412997"/>
    <w:rsid w:val="00412BA1"/>
    <w:rsid w:val="0041368B"/>
    <w:rsid w:val="00413F5D"/>
    <w:rsid w:val="00414682"/>
    <w:rsid w:val="00414E42"/>
    <w:rsid w:val="0041522A"/>
    <w:rsid w:val="00415862"/>
    <w:rsid w:val="00415A19"/>
    <w:rsid w:val="00415F10"/>
    <w:rsid w:val="004161B1"/>
    <w:rsid w:val="00416C7A"/>
    <w:rsid w:val="004170B9"/>
    <w:rsid w:val="00420394"/>
    <w:rsid w:val="00420A22"/>
    <w:rsid w:val="00420B14"/>
    <w:rsid w:val="00420E70"/>
    <w:rsid w:val="00421286"/>
    <w:rsid w:val="004213EF"/>
    <w:rsid w:val="0042167F"/>
    <w:rsid w:val="004220A3"/>
    <w:rsid w:val="004221F9"/>
    <w:rsid w:val="004224FB"/>
    <w:rsid w:val="004231EC"/>
    <w:rsid w:val="004232E5"/>
    <w:rsid w:val="0042333A"/>
    <w:rsid w:val="004233FB"/>
    <w:rsid w:val="00423FBC"/>
    <w:rsid w:val="00423FC5"/>
    <w:rsid w:val="0042405F"/>
    <w:rsid w:val="004242E2"/>
    <w:rsid w:val="004243C0"/>
    <w:rsid w:val="00424996"/>
    <w:rsid w:val="00424BBE"/>
    <w:rsid w:val="004252E2"/>
    <w:rsid w:val="00425412"/>
    <w:rsid w:val="0042559A"/>
    <w:rsid w:val="004256FA"/>
    <w:rsid w:val="00425EF1"/>
    <w:rsid w:val="00426560"/>
    <w:rsid w:val="00426BDE"/>
    <w:rsid w:val="00426C56"/>
    <w:rsid w:val="00426DE2"/>
    <w:rsid w:val="00427130"/>
    <w:rsid w:val="004271E9"/>
    <w:rsid w:val="00427477"/>
    <w:rsid w:val="00427520"/>
    <w:rsid w:val="004300B2"/>
    <w:rsid w:val="004303CF"/>
    <w:rsid w:val="00430F3A"/>
    <w:rsid w:val="00431901"/>
    <w:rsid w:val="004319EE"/>
    <w:rsid w:val="00431C3B"/>
    <w:rsid w:val="00431D01"/>
    <w:rsid w:val="00431D60"/>
    <w:rsid w:val="00433272"/>
    <w:rsid w:val="0043350E"/>
    <w:rsid w:val="0043387B"/>
    <w:rsid w:val="00433A0D"/>
    <w:rsid w:val="00433EC3"/>
    <w:rsid w:val="004345F8"/>
    <w:rsid w:val="00434677"/>
    <w:rsid w:val="00434743"/>
    <w:rsid w:val="004349D7"/>
    <w:rsid w:val="00434E4B"/>
    <w:rsid w:val="00435E76"/>
    <w:rsid w:val="0043623B"/>
    <w:rsid w:val="00436568"/>
    <w:rsid w:val="00436A5D"/>
    <w:rsid w:val="00436EA4"/>
    <w:rsid w:val="004370FF"/>
    <w:rsid w:val="004378E2"/>
    <w:rsid w:val="00437C17"/>
    <w:rsid w:val="00437D6A"/>
    <w:rsid w:val="004405CD"/>
    <w:rsid w:val="00440909"/>
    <w:rsid w:val="00440A51"/>
    <w:rsid w:val="004419A6"/>
    <w:rsid w:val="00441A73"/>
    <w:rsid w:val="00441BD2"/>
    <w:rsid w:val="00441CF6"/>
    <w:rsid w:val="00441DEF"/>
    <w:rsid w:val="00441F19"/>
    <w:rsid w:val="0044213F"/>
    <w:rsid w:val="0044227A"/>
    <w:rsid w:val="004423C7"/>
    <w:rsid w:val="004425EF"/>
    <w:rsid w:val="0044296A"/>
    <w:rsid w:val="00442B8C"/>
    <w:rsid w:val="00442F29"/>
    <w:rsid w:val="00443146"/>
    <w:rsid w:val="004445DE"/>
    <w:rsid w:val="004447B8"/>
    <w:rsid w:val="0044499F"/>
    <w:rsid w:val="00444A96"/>
    <w:rsid w:val="0044608F"/>
    <w:rsid w:val="00446D05"/>
    <w:rsid w:val="00446D1E"/>
    <w:rsid w:val="00446D34"/>
    <w:rsid w:val="00446E6C"/>
    <w:rsid w:val="004473B8"/>
    <w:rsid w:val="00447404"/>
    <w:rsid w:val="00447A28"/>
    <w:rsid w:val="004502ED"/>
    <w:rsid w:val="00450BF5"/>
    <w:rsid w:val="00450F7F"/>
    <w:rsid w:val="004510B6"/>
    <w:rsid w:val="004521BA"/>
    <w:rsid w:val="00452781"/>
    <w:rsid w:val="00452ED5"/>
    <w:rsid w:val="0045331E"/>
    <w:rsid w:val="00453511"/>
    <w:rsid w:val="00453716"/>
    <w:rsid w:val="00453B60"/>
    <w:rsid w:val="00453E6D"/>
    <w:rsid w:val="00454A1C"/>
    <w:rsid w:val="00454B16"/>
    <w:rsid w:val="00454BE2"/>
    <w:rsid w:val="00454E44"/>
    <w:rsid w:val="00454F19"/>
    <w:rsid w:val="00455426"/>
    <w:rsid w:val="00455C11"/>
    <w:rsid w:val="004560A3"/>
    <w:rsid w:val="00456175"/>
    <w:rsid w:val="0045639B"/>
    <w:rsid w:val="00456710"/>
    <w:rsid w:val="00456A3B"/>
    <w:rsid w:val="004574D2"/>
    <w:rsid w:val="00457953"/>
    <w:rsid w:val="00457C2D"/>
    <w:rsid w:val="00457D05"/>
    <w:rsid w:val="00457E1A"/>
    <w:rsid w:val="00457E48"/>
    <w:rsid w:val="00457FFB"/>
    <w:rsid w:val="004600DA"/>
    <w:rsid w:val="004605FD"/>
    <w:rsid w:val="00460E95"/>
    <w:rsid w:val="00460F63"/>
    <w:rsid w:val="00461290"/>
    <w:rsid w:val="00461336"/>
    <w:rsid w:val="0046140C"/>
    <w:rsid w:val="00461802"/>
    <w:rsid w:val="0046231C"/>
    <w:rsid w:val="0046242E"/>
    <w:rsid w:val="004628C6"/>
    <w:rsid w:val="00462D26"/>
    <w:rsid w:val="00462D8A"/>
    <w:rsid w:val="00463031"/>
    <w:rsid w:val="00463608"/>
    <w:rsid w:val="00463E07"/>
    <w:rsid w:val="00464A11"/>
    <w:rsid w:val="00464C13"/>
    <w:rsid w:val="00464E5F"/>
    <w:rsid w:val="00465309"/>
    <w:rsid w:val="004657CA"/>
    <w:rsid w:val="00465FF0"/>
    <w:rsid w:val="004663E8"/>
    <w:rsid w:val="004668D5"/>
    <w:rsid w:val="00466953"/>
    <w:rsid w:val="00466AB0"/>
    <w:rsid w:val="00467709"/>
    <w:rsid w:val="0046782B"/>
    <w:rsid w:val="00470029"/>
    <w:rsid w:val="00470DA8"/>
    <w:rsid w:val="00470DB9"/>
    <w:rsid w:val="0047101A"/>
    <w:rsid w:val="004711F2"/>
    <w:rsid w:val="00471293"/>
    <w:rsid w:val="00471899"/>
    <w:rsid w:val="00471C35"/>
    <w:rsid w:val="00471F4E"/>
    <w:rsid w:val="00472068"/>
    <w:rsid w:val="004721D0"/>
    <w:rsid w:val="0047255F"/>
    <w:rsid w:val="00472657"/>
    <w:rsid w:val="00473041"/>
    <w:rsid w:val="00473BEE"/>
    <w:rsid w:val="00473C06"/>
    <w:rsid w:val="00473C9A"/>
    <w:rsid w:val="00473F6A"/>
    <w:rsid w:val="00474E3D"/>
    <w:rsid w:val="00475671"/>
    <w:rsid w:val="00475675"/>
    <w:rsid w:val="004756DA"/>
    <w:rsid w:val="004758AB"/>
    <w:rsid w:val="00475B72"/>
    <w:rsid w:val="00475E09"/>
    <w:rsid w:val="00476232"/>
    <w:rsid w:val="004762BE"/>
    <w:rsid w:val="0047656C"/>
    <w:rsid w:val="00476949"/>
    <w:rsid w:val="00477174"/>
    <w:rsid w:val="004775A6"/>
    <w:rsid w:val="00477986"/>
    <w:rsid w:val="00477AF2"/>
    <w:rsid w:val="004801D2"/>
    <w:rsid w:val="00480A86"/>
    <w:rsid w:val="00480FB0"/>
    <w:rsid w:val="00481E2A"/>
    <w:rsid w:val="00482942"/>
    <w:rsid w:val="004831C1"/>
    <w:rsid w:val="004835E1"/>
    <w:rsid w:val="00483658"/>
    <w:rsid w:val="00483697"/>
    <w:rsid w:val="004837B5"/>
    <w:rsid w:val="00483C6C"/>
    <w:rsid w:val="004843D4"/>
    <w:rsid w:val="004843D7"/>
    <w:rsid w:val="00484432"/>
    <w:rsid w:val="00484609"/>
    <w:rsid w:val="00484ADC"/>
    <w:rsid w:val="00484F5F"/>
    <w:rsid w:val="004850CE"/>
    <w:rsid w:val="00485285"/>
    <w:rsid w:val="00485768"/>
    <w:rsid w:val="004862B2"/>
    <w:rsid w:val="00486374"/>
    <w:rsid w:val="00486791"/>
    <w:rsid w:val="004867EE"/>
    <w:rsid w:val="00486CEF"/>
    <w:rsid w:val="00486D19"/>
    <w:rsid w:val="00486D92"/>
    <w:rsid w:val="00486FA3"/>
    <w:rsid w:val="00487190"/>
    <w:rsid w:val="00487485"/>
    <w:rsid w:val="004874E0"/>
    <w:rsid w:val="004877F7"/>
    <w:rsid w:val="00490199"/>
    <w:rsid w:val="0049021A"/>
    <w:rsid w:val="00490FC4"/>
    <w:rsid w:val="0049104A"/>
    <w:rsid w:val="004912D6"/>
    <w:rsid w:val="004914DC"/>
    <w:rsid w:val="004919D4"/>
    <w:rsid w:val="00491FB0"/>
    <w:rsid w:val="004922C9"/>
    <w:rsid w:val="00492D58"/>
    <w:rsid w:val="00492EEE"/>
    <w:rsid w:val="00493A3F"/>
    <w:rsid w:val="00493B48"/>
    <w:rsid w:val="0049437B"/>
    <w:rsid w:val="0049448C"/>
    <w:rsid w:val="004945A0"/>
    <w:rsid w:val="0049469E"/>
    <w:rsid w:val="00494985"/>
    <w:rsid w:val="00494F68"/>
    <w:rsid w:val="00495115"/>
    <w:rsid w:val="00495481"/>
    <w:rsid w:val="004954C9"/>
    <w:rsid w:val="004958C7"/>
    <w:rsid w:val="00495E95"/>
    <w:rsid w:val="00495FEE"/>
    <w:rsid w:val="00496233"/>
    <w:rsid w:val="00496423"/>
    <w:rsid w:val="0049671A"/>
    <w:rsid w:val="00496D73"/>
    <w:rsid w:val="00496E11"/>
    <w:rsid w:val="004A0103"/>
    <w:rsid w:val="004A01B5"/>
    <w:rsid w:val="004A0419"/>
    <w:rsid w:val="004A066B"/>
    <w:rsid w:val="004A0E20"/>
    <w:rsid w:val="004A1558"/>
    <w:rsid w:val="004A16D1"/>
    <w:rsid w:val="004A172C"/>
    <w:rsid w:val="004A1921"/>
    <w:rsid w:val="004A19B1"/>
    <w:rsid w:val="004A20D7"/>
    <w:rsid w:val="004A22B1"/>
    <w:rsid w:val="004A2556"/>
    <w:rsid w:val="004A2747"/>
    <w:rsid w:val="004A299C"/>
    <w:rsid w:val="004A2B33"/>
    <w:rsid w:val="004A343F"/>
    <w:rsid w:val="004A3583"/>
    <w:rsid w:val="004A36E0"/>
    <w:rsid w:val="004A3A16"/>
    <w:rsid w:val="004A424A"/>
    <w:rsid w:val="004A4341"/>
    <w:rsid w:val="004A45FC"/>
    <w:rsid w:val="004A4EA4"/>
    <w:rsid w:val="004A521B"/>
    <w:rsid w:val="004A5361"/>
    <w:rsid w:val="004A55F3"/>
    <w:rsid w:val="004A5711"/>
    <w:rsid w:val="004A5874"/>
    <w:rsid w:val="004A5D5D"/>
    <w:rsid w:val="004A67BB"/>
    <w:rsid w:val="004A6E64"/>
    <w:rsid w:val="004A7043"/>
    <w:rsid w:val="004A7165"/>
    <w:rsid w:val="004A7838"/>
    <w:rsid w:val="004B07B7"/>
    <w:rsid w:val="004B0D39"/>
    <w:rsid w:val="004B14B4"/>
    <w:rsid w:val="004B157F"/>
    <w:rsid w:val="004B15CD"/>
    <w:rsid w:val="004B1694"/>
    <w:rsid w:val="004B1D66"/>
    <w:rsid w:val="004B20E0"/>
    <w:rsid w:val="004B2A23"/>
    <w:rsid w:val="004B2B5B"/>
    <w:rsid w:val="004B2EA1"/>
    <w:rsid w:val="004B445B"/>
    <w:rsid w:val="004B4A2B"/>
    <w:rsid w:val="004B4B17"/>
    <w:rsid w:val="004B4F72"/>
    <w:rsid w:val="004B4F73"/>
    <w:rsid w:val="004B518D"/>
    <w:rsid w:val="004B52F3"/>
    <w:rsid w:val="004B56A7"/>
    <w:rsid w:val="004B615B"/>
    <w:rsid w:val="004B638A"/>
    <w:rsid w:val="004B6D28"/>
    <w:rsid w:val="004B70CE"/>
    <w:rsid w:val="004C0099"/>
    <w:rsid w:val="004C0130"/>
    <w:rsid w:val="004C0AD3"/>
    <w:rsid w:val="004C0B85"/>
    <w:rsid w:val="004C0CD1"/>
    <w:rsid w:val="004C106D"/>
    <w:rsid w:val="004C137F"/>
    <w:rsid w:val="004C20FB"/>
    <w:rsid w:val="004C23E8"/>
    <w:rsid w:val="004C25B8"/>
    <w:rsid w:val="004C27BE"/>
    <w:rsid w:val="004C2B5C"/>
    <w:rsid w:val="004C2F4D"/>
    <w:rsid w:val="004C3968"/>
    <w:rsid w:val="004C3CFC"/>
    <w:rsid w:val="004C4038"/>
    <w:rsid w:val="004C40DC"/>
    <w:rsid w:val="004C4225"/>
    <w:rsid w:val="004C463A"/>
    <w:rsid w:val="004C578E"/>
    <w:rsid w:val="004C6271"/>
    <w:rsid w:val="004C6D13"/>
    <w:rsid w:val="004C7E9E"/>
    <w:rsid w:val="004D0CFD"/>
    <w:rsid w:val="004D16EB"/>
    <w:rsid w:val="004D182C"/>
    <w:rsid w:val="004D1865"/>
    <w:rsid w:val="004D2535"/>
    <w:rsid w:val="004D258F"/>
    <w:rsid w:val="004D27B8"/>
    <w:rsid w:val="004D290F"/>
    <w:rsid w:val="004D2E92"/>
    <w:rsid w:val="004D33C8"/>
    <w:rsid w:val="004D3633"/>
    <w:rsid w:val="004D3B54"/>
    <w:rsid w:val="004D3B57"/>
    <w:rsid w:val="004D40D5"/>
    <w:rsid w:val="004D4238"/>
    <w:rsid w:val="004D4911"/>
    <w:rsid w:val="004D49AC"/>
    <w:rsid w:val="004D4E1A"/>
    <w:rsid w:val="004D5073"/>
    <w:rsid w:val="004D5198"/>
    <w:rsid w:val="004D5745"/>
    <w:rsid w:val="004D5FB8"/>
    <w:rsid w:val="004D61B5"/>
    <w:rsid w:val="004D689C"/>
    <w:rsid w:val="004D7E5E"/>
    <w:rsid w:val="004E09FE"/>
    <w:rsid w:val="004E0B17"/>
    <w:rsid w:val="004E0B99"/>
    <w:rsid w:val="004E0CD9"/>
    <w:rsid w:val="004E0EAB"/>
    <w:rsid w:val="004E11E0"/>
    <w:rsid w:val="004E20BA"/>
    <w:rsid w:val="004E22FD"/>
    <w:rsid w:val="004E22FF"/>
    <w:rsid w:val="004E2435"/>
    <w:rsid w:val="004E2783"/>
    <w:rsid w:val="004E344B"/>
    <w:rsid w:val="004E5C32"/>
    <w:rsid w:val="004E5E93"/>
    <w:rsid w:val="004E5F5E"/>
    <w:rsid w:val="004E6079"/>
    <w:rsid w:val="004E6086"/>
    <w:rsid w:val="004E614A"/>
    <w:rsid w:val="004E63E7"/>
    <w:rsid w:val="004E6675"/>
    <w:rsid w:val="004E66DA"/>
    <w:rsid w:val="004E688D"/>
    <w:rsid w:val="004E693A"/>
    <w:rsid w:val="004E7531"/>
    <w:rsid w:val="004E7FDC"/>
    <w:rsid w:val="004F094A"/>
    <w:rsid w:val="004F12ED"/>
    <w:rsid w:val="004F16BD"/>
    <w:rsid w:val="004F1C34"/>
    <w:rsid w:val="004F20FB"/>
    <w:rsid w:val="004F2436"/>
    <w:rsid w:val="004F296E"/>
    <w:rsid w:val="004F2F49"/>
    <w:rsid w:val="004F31E3"/>
    <w:rsid w:val="004F341E"/>
    <w:rsid w:val="004F35D7"/>
    <w:rsid w:val="004F36F2"/>
    <w:rsid w:val="004F4313"/>
    <w:rsid w:val="004F49AB"/>
    <w:rsid w:val="004F4E67"/>
    <w:rsid w:val="004F4F92"/>
    <w:rsid w:val="004F5249"/>
    <w:rsid w:val="004F5357"/>
    <w:rsid w:val="004F5849"/>
    <w:rsid w:val="004F58F1"/>
    <w:rsid w:val="004F5F9D"/>
    <w:rsid w:val="004F6E2A"/>
    <w:rsid w:val="004F758D"/>
    <w:rsid w:val="004F75BD"/>
    <w:rsid w:val="004F77A1"/>
    <w:rsid w:val="004F7807"/>
    <w:rsid w:val="004F7915"/>
    <w:rsid w:val="004F7AF1"/>
    <w:rsid w:val="0050038F"/>
    <w:rsid w:val="0050045D"/>
    <w:rsid w:val="00500B9E"/>
    <w:rsid w:val="00500E14"/>
    <w:rsid w:val="00500FD7"/>
    <w:rsid w:val="00500FED"/>
    <w:rsid w:val="00500FEF"/>
    <w:rsid w:val="00501984"/>
    <w:rsid w:val="00501AD2"/>
    <w:rsid w:val="00502831"/>
    <w:rsid w:val="005031BA"/>
    <w:rsid w:val="00503715"/>
    <w:rsid w:val="00503967"/>
    <w:rsid w:val="00503EDC"/>
    <w:rsid w:val="005042B3"/>
    <w:rsid w:val="005043B7"/>
    <w:rsid w:val="005044AF"/>
    <w:rsid w:val="00504CD9"/>
    <w:rsid w:val="0050535D"/>
    <w:rsid w:val="00505574"/>
    <w:rsid w:val="0050570A"/>
    <w:rsid w:val="00505A42"/>
    <w:rsid w:val="00505EDE"/>
    <w:rsid w:val="0050668B"/>
    <w:rsid w:val="0050681E"/>
    <w:rsid w:val="00506CFA"/>
    <w:rsid w:val="005076CB"/>
    <w:rsid w:val="0050780F"/>
    <w:rsid w:val="00507C31"/>
    <w:rsid w:val="00510193"/>
    <w:rsid w:val="005105A9"/>
    <w:rsid w:val="00510BCD"/>
    <w:rsid w:val="00510FBF"/>
    <w:rsid w:val="00511A1E"/>
    <w:rsid w:val="00511A9E"/>
    <w:rsid w:val="00511BAE"/>
    <w:rsid w:val="00511C0E"/>
    <w:rsid w:val="0051255B"/>
    <w:rsid w:val="005126B6"/>
    <w:rsid w:val="00512889"/>
    <w:rsid w:val="00512917"/>
    <w:rsid w:val="00512E2B"/>
    <w:rsid w:val="00512E69"/>
    <w:rsid w:val="00513151"/>
    <w:rsid w:val="00513886"/>
    <w:rsid w:val="00513AF2"/>
    <w:rsid w:val="00513C41"/>
    <w:rsid w:val="005146D9"/>
    <w:rsid w:val="00514996"/>
    <w:rsid w:val="00514F5F"/>
    <w:rsid w:val="005158AC"/>
    <w:rsid w:val="00515A32"/>
    <w:rsid w:val="00516096"/>
    <w:rsid w:val="0051667D"/>
    <w:rsid w:val="0051670D"/>
    <w:rsid w:val="005169A7"/>
    <w:rsid w:val="00516F26"/>
    <w:rsid w:val="00517930"/>
    <w:rsid w:val="00520451"/>
    <w:rsid w:val="0052045F"/>
    <w:rsid w:val="00520868"/>
    <w:rsid w:val="00520C47"/>
    <w:rsid w:val="00520D9A"/>
    <w:rsid w:val="0052136A"/>
    <w:rsid w:val="00521C4E"/>
    <w:rsid w:val="00521FAE"/>
    <w:rsid w:val="00522118"/>
    <w:rsid w:val="00522655"/>
    <w:rsid w:val="005228B7"/>
    <w:rsid w:val="005237AE"/>
    <w:rsid w:val="0052460C"/>
    <w:rsid w:val="0052478A"/>
    <w:rsid w:val="00524797"/>
    <w:rsid w:val="00524A4B"/>
    <w:rsid w:val="00524B6F"/>
    <w:rsid w:val="00524B94"/>
    <w:rsid w:val="00524E32"/>
    <w:rsid w:val="00524F99"/>
    <w:rsid w:val="005252A4"/>
    <w:rsid w:val="00525751"/>
    <w:rsid w:val="00525BD2"/>
    <w:rsid w:val="00525C65"/>
    <w:rsid w:val="005262B9"/>
    <w:rsid w:val="005262DA"/>
    <w:rsid w:val="00526451"/>
    <w:rsid w:val="00526985"/>
    <w:rsid w:val="00526BCC"/>
    <w:rsid w:val="005270CA"/>
    <w:rsid w:val="005273E7"/>
    <w:rsid w:val="00530011"/>
    <w:rsid w:val="0053094D"/>
    <w:rsid w:val="00530C12"/>
    <w:rsid w:val="00531E8D"/>
    <w:rsid w:val="005322ED"/>
    <w:rsid w:val="00532598"/>
    <w:rsid w:val="005327F3"/>
    <w:rsid w:val="00532AD5"/>
    <w:rsid w:val="00533180"/>
    <w:rsid w:val="00533E77"/>
    <w:rsid w:val="00534060"/>
    <w:rsid w:val="0053415F"/>
    <w:rsid w:val="00534529"/>
    <w:rsid w:val="005345BB"/>
    <w:rsid w:val="005346A2"/>
    <w:rsid w:val="005347DF"/>
    <w:rsid w:val="005349F4"/>
    <w:rsid w:val="00534DC9"/>
    <w:rsid w:val="00534DCF"/>
    <w:rsid w:val="00535326"/>
    <w:rsid w:val="00535B9E"/>
    <w:rsid w:val="005372A7"/>
    <w:rsid w:val="0053785F"/>
    <w:rsid w:val="005400D5"/>
    <w:rsid w:val="00540212"/>
    <w:rsid w:val="00540417"/>
    <w:rsid w:val="005406D5"/>
    <w:rsid w:val="0054082F"/>
    <w:rsid w:val="005408F5"/>
    <w:rsid w:val="00540984"/>
    <w:rsid w:val="00540BCF"/>
    <w:rsid w:val="00541636"/>
    <w:rsid w:val="0054194F"/>
    <w:rsid w:val="00541C1E"/>
    <w:rsid w:val="00541F03"/>
    <w:rsid w:val="005421B9"/>
    <w:rsid w:val="00542490"/>
    <w:rsid w:val="005424EB"/>
    <w:rsid w:val="00543025"/>
    <w:rsid w:val="00543198"/>
    <w:rsid w:val="005432A7"/>
    <w:rsid w:val="005435F9"/>
    <w:rsid w:val="00543B7A"/>
    <w:rsid w:val="00544130"/>
    <w:rsid w:val="00544AE1"/>
    <w:rsid w:val="00544D40"/>
    <w:rsid w:val="00544FAB"/>
    <w:rsid w:val="00545296"/>
    <w:rsid w:val="00545423"/>
    <w:rsid w:val="00545A70"/>
    <w:rsid w:val="00545AB8"/>
    <w:rsid w:val="00545BC8"/>
    <w:rsid w:val="005465C9"/>
    <w:rsid w:val="00546659"/>
    <w:rsid w:val="005466CA"/>
    <w:rsid w:val="00546752"/>
    <w:rsid w:val="00546EE1"/>
    <w:rsid w:val="0054707E"/>
    <w:rsid w:val="00547BF9"/>
    <w:rsid w:val="005508D8"/>
    <w:rsid w:val="00550D18"/>
    <w:rsid w:val="00550FEA"/>
    <w:rsid w:val="0055103D"/>
    <w:rsid w:val="00551D8A"/>
    <w:rsid w:val="005524D3"/>
    <w:rsid w:val="005526C2"/>
    <w:rsid w:val="005526E2"/>
    <w:rsid w:val="00552FB7"/>
    <w:rsid w:val="00553497"/>
    <w:rsid w:val="00553AF9"/>
    <w:rsid w:val="00554403"/>
    <w:rsid w:val="0055444F"/>
    <w:rsid w:val="00554522"/>
    <w:rsid w:val="0055484A"/>
    <w:rsid w:val="00554AFB"/>
    <w:rsid w:val="00554D37"/>
    <w:rsid w:val="00554EC1"/>
    <w:rsid w:val="005554AD"/>
    <w:rsid w:val="00555B56"/>
    <w:rsid w:val="00555D5D"/>
    <w:rsid w:val="005560F3"/>
    <w:rsid w:val="00556629"/>
    <w:rsid w:val="00556835"/>
    <w:rsid w:val="00556F45"/>
    <w:rsid w:val="0055708C"/>
    <w:rsid w:val="00557370"/>
    <w:rsid w:val="00557512"/>
    <w:rsid w:val="00557682"/>
    <w:rsid w:val="005577DA"/>
    <w:rsid w:val="0055798B"/>
    <w:rsid w:val="00557A73"/>
    <w:rsid w:val="00557CCB"/>
    <w:rsid w:val="00560037"/>
    <w:rsid w:val="00560D52"/>
    <w:rsid w:val="00560DCB"/>
    <w:rsid w:val="005614CC"/>
    <w:rsid w:val="005615A7"/>
    <w:rsid w:val="00561D4B"/>
    <w:rsid w:val="0056232E"/>
    <w:rsid w:val="00563001"/>
    <w:rsid w:val="00563290"/>
    <w:rsid w:val="00563940"/>
    <w:rsid w:val="00563C28"/>
    <w:rsid w:val="0056466F"/>
    <w:rsid w:val="00564A89"/>
    <w:rsid w:val="00564CB3"/>
    <w:rsid w:val="005650BB"/>
    <w:rsid w:val="00565AE2"/>
    <w:rsid w:val="005660A9"/>
    <w:rsid w:val="005669F3"/>
    <w:rsid w:val="00566AFB"/>
    <w:rsid w:val="00566C71"/>
    <w:rsid w:val="00566D9A"/>
    <w:rsid w:val="00566F17"/>
    <w:rsid w:val="00567543"/>
    <w:rsid w:val="00567FE3"/>
    <w:rsid w:val="0057036D"/>
    <w:rsid w:val="0057057F"/>
    <w:rsid w:val="00570791"/>
    <w:rsid w:val="005708E3"/>
    <w:rsid w:val="00570A44"/>
    <w:rsid w:val="00570AE7"/>
    <w:rsid w:val="005713FD"/>
    <w:rsid w:val="00571484"/>
    <w:rsid w:val="00571C5C"/>
    <w:rsid w:val="00572570"/>
    <w:rsid w:val="005729B1"/>
    <w:rsid w:val="00572D0B"/>
    <w:rsid w:val="00572F1A"/>
    <w:rsid w:val="005737AA"/>
    <w:rsid w:val="00573AE3"/>
    <w:rsid w:val="005740DF"/>
    <w:rsid w:val="005742A8"/>
    <w:rsid w:val="00574527"/>
    <w:rsid w:val="00574B0F"/>
    <w:rsid w:val="00574FF9"/>
    <w:rsid w:val="00575170"/>
    <w:rsid w:val="00575BFE"/>
    <w:rsid w:val="00575D84"/>
    <w:rsid w:val="00576562"/>
    <w:rsid w:val="005768BD"/>
    <w:rsid w:val="00576B52"/>
    <w:rsid w:val="00576E87"/>
    <w:rsid w:val="00576EF5"/>
    <w:rsid w:val="0057751A"/>
    <w:rsid w:val="0057776A"/>
    <w:rsid w:val="00577851"/>
    <w:rsid w:val="00577B88"/>
    <w:rsid w:val="00577BF4"/>
    <w:rsid w:val="00577F0C"/>
    <w:rsid w:val="00580308"/>
    <w:rsid w:val="00580333"/>
    <w:rsid w:val="0058051D"/>
    <w:rsid w:val="00581057"/>
    <w:rsid w:val="005817C9"/>
    <w:rsid w:val="00582009"/>
    <w:rsid w:val="00582080"/>
    <w:rsid w:val="0058236C"/>
    <w:rsid w:val="00582ECD"/>
    <w:rsid w:val="00583097"/>
    <w:rsid w:val="00583620"/>
    <w:rsid w:val="005838A2"/>
    <w:rsid w:val="005838E1"/>
    <w:rsid w:val="0058390C"/>
    <w:rsid w:val="00583A71"/>
    <w:rsid w:val="00583A84"/>
    <w:rsid w:val="00583CBE"/>
    <w:rsid w:val="00584375"/>
    <w:rsid w:val="005844B2"/>
    <w:rsid w:val="005847E4"/>
    <w:rsid w:val="00584B22"/>
    <w:rsid w:val="0058506A"/>
    <w:rsid w:val="0058537A"/>
    <w:rsid w:val="00585C85"/>
    <w:rsid w:val="005863B9"/>
    <w:rsid w:val="00586B85"/>
    <w:rsid w:val="00586CA5"/>
    <w:rsid w:val="005873D8"/>
    <w:rsid w:val="00587685"/>
    <w:rsid w:val="00587BDE"/>
    <w:rsid w:val="00587CFB"/>
    <w:rsid w:val="00587F2C"/>
    <w:rsid w:val="00587FD9"/>
    <w:rsid w:val="0059041B"/>
    <w:rsid w:val="00590C4A"/>
    <w:rsid w:val="00591226"/>
    <w:rsid w:val="005912BC"/>
    <w:rsid w:val="00591D02"/>
    <w:rsid w:val="00591F68"/>
    <w:rsid w:val="00592319"/>
    <w:rsid w:val="00592490"/>
    <w:rsid w:val="005928C6"/>
    <w:rsid w:val="005930AF"/>
    <w:rsid w:val="00593433"/>
    <w:rsid w:val="005935CE"/>
    <w:rsid w:val="0059474A"/>
    <w:rsid w:val="00594B47"/>
    <w:rsid w:val="00595829"/>
    <w:rsid w:val="00595A64"/>
    <w:rsid w:val="00596081"/>
    <w:rsid w:val="0059612C"/>
    <w:rsid w:val="0059674E"/>
    <w:rsid w:val="0059728E"/>
    <w:rsid w:val="005973E1"/>
    <w:rsid w:val="005A0342"/>
    <w:rsid w:val="005A042F"/>
    <w:rsid w:val="005A05F7"/>
    <w:rsid w:val="005A1A5F"/>
    <w:rsid w:val="005A202D"/>
    <w:rsid w:val="005A23BC"/>
    <w:rsid w:val="005A28F3"/>
    <w:rsid w:val="005A3AFE"/>
    <w:rsid w:val="005A3B55"/>
    <w:rsid w:val="005A3CE1"/>
    <w:rsid w:val="005A3D0C"/>
    <w:rsid w:val="005A41E8"/>
    <w:rsid w:val="005A5052"/>
    <w:rsid w:val="005A50D6"/>
    <w:rsid w:val="005A5B08"/>
    <w:rsid w:val="005A5CFD"/>
    <w:rsid w:val="005A5F65"/>
    <w:rsid w:val="005A6B76"/>
    <w:rsid w:val="005A6DCE"/>
    <w:rsid w:val="005A7164"/>
    <w:rsid w:val="005A7B06"/>
    <w:rsid w:val="005B0573"/>
    <w:rsid w:val="005B0873"/>
    <w:rsid w:val="005B10EE"/>
    <w:rsid w:val="005B17B3"/>
    <w:rsid w:val="005B18C8"/>
    <w:rsid w:val="005B1F1E"/>
    <w:rsid w:val="005B21F5"/>
    <w:rsid w:val="005B2747"/>
    <w:rsid w:val="005B2CAB"/>
    <w:rsid w:val="005B2D54"/>
    <w:rsid w:val="005B3428"/>
    <w:rsid w:val="005B35B3"/>
    <w:rsid w:val="005B3981"/>
    <w:rsid w:val="005B3D5E"/>
    <w:rsid w:val="005B3F8D"/>
    <w:rsid w:val="005B4A18"/>
    <w:rsid w:val="005B4F61"/>
    <w:rsid w:val="005B5331"/>
    <w:rsid w:val="005B5C5B"/>
    <w:rsid w:val="005B5F73"/>
    <w:rsid w:val="005B612E"/>
    <w:rsid w:val="005B634B"/>
    <w:rsid w:val="005B6B0A"/>
    <w:rsid w:val="005B6D15"/>
    <w:rsid w:val="005B71FB"/>
    <w:rsid w:val="005B720F"/>
    <w:rsid w:val="005B739F"/>
    <w:rsid w:val="005B7DF9"/>
    <w:rsid w:val="005C0181"/>
    <w:rsid w:val="005C06BC"/>
    <w:rsid w:val="005C1061"/>
    <w:rsid w:val="005C107A"/>
    <w:rsid w:val="005C1519"/>
    <w:rsid w:val="005C1780"/>
    <w:rsid w:val="005C18F5"/>
    <w:rsid w:val="005C195C"/>
    <w:rsid w:val="005C1A8B"/>
    <w:rsid w:val="005C1B23"/>
    <w:rsid w:val="005C1B84"/>
    <w:rsid w:val="005C1C1B"/>
    <w:rsid w:val="005C2084"/>
    <w:rsid w:val="005C208B"/>
    <w:rsid w:val="005C2235"/>
    <w:rsid w:val="005C25DC"/>
    <w:rsid w:val="005C25F9"/>
    <w:rsid w:val="005C2AEF"/>
    <w:rsid w:val="005C2EE4"/>
    <w:rsid w:val="005C355F"/>
    <w:rsid w:val="005C3614"/>
    <w:rsid w:val="005C3716"/>
    <w:rsid w:val="005C45D4"/>
    <w:rsid w:val="005C4A6F"/>
    <w:rsid w:val="005C4B19"/>
    <w:rsid w:val="005C4EE5"/>
    <w:rsid w:val="005C5243"/>
    <w:rsid w:val="005C545C"/>
    <w:rsid w:val="005C551F"/>
    <w:rsid w:val="005C5D22"/>
    <w:rsid w:val="005C5F8E"/>
    <w:rsid w:val="005C64DE"/>
    <w:rsid w:val="005C6934"/>
    <w:rsid w:val="005C6960"/>
    <w:rsid w:val="005C6DE6"/>
    <w:rsid w:val="005C6FE6"/>
    <w:rsid w:val="005C725D"/>
    <w:rsid w:val="005C7DCB"/>
    <w:rsid w:val="005C7E5A"/>
    <w:rsid w:val="005D02D7"/>
    <w:rsid w:val="005D0F77"/>
    <w:rsid w:val="005D1418"/>
    <w:rsid w:val="005D16E7"/>
    <w:rsid w:val="005D1897"/>
    <w:rsid w:val="005D2219"/>
    <w:rsid w:val="005D2B1D"/>
    <w:rsid w:val="005D3032"/>
    <w:rsid w:val="005D3035"/>
    <w:rsid w:val="005D312D"/>
    <w:rsid w:val="005D3D59"/>
    <w:rsid w:val="005D4E83"/>
    <w:rsid w:val="005D5242"/>
    <w:rsid w:val="005D5497"/>
    <w:rsid w:val="005D5522"/>
    <w:rsid w:val="005D588D"/>
    <w:rsid w:val="005D5A41"/>
    <w:rsid w:val="005D5C93"/>
    <w:rsid w:val="005D667A"/>
    <w:rsid w:val="005D674D"/>
    <w:rsid w:val="005D6EC7"/>
    <w:rsid w:val="005D795F"/>
    <w:rsid w:val="005D7B22"/>
    <w:rsid w:val="005E0548"/>
    <w:rsid w:val="005E0A81"/>
    <w:rsid w:val="005E0B1D"/>
    <w:rsid w:val="005E0BA9"/>
    <w:rsid w:val="005E0E3A"/>
    <w:rsid w:val="005E130A"/>
    <w:rsid w:val="005E16A0"/>
    <w:rsid w:val="005E1C65"/>
    <w:rsid w:val="005E286A"/>
    <w:rsid w:val="005E2ED6"/>
    <w:rsid w:val="005E3308"/>
    <w:rsid w:val="005E3E9D"/>
    <w:rsid w:val="005E3EDC"/>
    <w:rsid w:val="005E3F95"/>
    <w:rsid w:val="005E46A2"/>
    <w:rsid w:val="005E4710"/>
    <w:rsid w:val="005E4965"/>
    <w:rsid w:val="005E4F8C"/>
    <w:rsid w:val="005E54EC"/>
    <w:rsid w:val="005E55EB"/>
    <w:rsid w:val="005E5A55"/>
    <w:rsid w:val="005E5B55"/>
    <w:rsid w:val="005E5FD8"/>
    <w:rsid w:val="005E6090"/>
    <w:rsid w:val="005E6418"/>
    <w:rsid w:val="005E6749"/>
    <w:rsid w:val="005E6A42"/>
    <w:rsid w:val="005E7427"/>
    <w:rsid w:val="005E74EE"/>
    <w:rsid w:val="005E765B"/>
    <w:rsid w:val="005E7BD1"/>
    <w:rsid w:val="005E7C44"/>
    <w:rsid w:val="005F0006"/>
    <w:rsid w:val="005F0309"/>
    <w:rsid w:val="005F035F"/>
    <w:rsid w:val="005F0493"/>
    <w:rsid w:val="005F169F"/>
    <w:rsid w:val="005F1CE6"/>
    <w:rsid w:val="005F1D28"/>
    <w:rsid w:val="005F25C7"/>
    <w:rsid w:val="005F2807"/>
    <w:rsid w:val="005F294E"/>
    <w:rsid w:val="005F2D3A"/>
    <w:rsid w:val="005F2E43"/>
    <w:rsid w:val="005F30B0"/>
    <w:rsid w:val="005F41C6"/>
    <w:rsid w:val="005F434B"/>
    <w:rsid w:val="005F489F"/>
    <w:rsid w:val="005F4CCE"/>
    <w:rsid w:val="005F5108"/>
    <w:rsid w:val="005F5351"/>
    <w:rsid w:val="005F54FF"/>
    <w:rsid w:val="005F550F"/>
    <w:rsid w:val="005F56D2"/>
    <w:rsid w:val="005F5C53"/>
    <w:rsid w:val="005F5E9F"/>
    <w:rsid w:val="005F64F1"/>
    <w:rsid w:val="005F66C5"/>
    <w:rsid w:val="005F6ABE"/>
    <w:rsid w:val="005F70C3"/>
    <w:rsid w:val="005F7327"/>
    <w:rsid w:val="005F79CC"/>
    <w:rsid w:val="005F7C9F"/>
    <w:rsid w:val="0060003B"/>
    <w:rsid w:val="00600379"/>
    <w:rsid w:val="006004BC"/>
    <w:rsid w:val="006004FF"/>
    <w:rsid w:val="00600800"/>
    <w:rsid w:val="006018D4"/>
    <w:rsid w:val="006020C0"/>
    <w:rsid w:val="006021C8"/>
    <w:rsid w:val="00602339"/>
    <w:rsid w:val="00602BDA"/>
    <w:rsid w:val="00603252"/>
    <w:rsid w:val="006033BB"/>
    <w:rsid w:val="006033F3"/>
    <w:rsid w:val="006034E5"/>
    <w:rsid w:val="00603953"/>
    <w:rsid w:val="00603A60"/>
    <w:rsid w:val="00603CEA"/>
    <w:rsid w:val="00603D58"/>
    <w:rsid w:val="00604217"/>
    <w:rsid w:val="0060453E"/>
    <w:rsid w:val="00604543"/>
    <w:rsid w:val="00604878"/>
    <w:rsid w:val="006048FB"/>
    <w:rsid w:val="00605825"/>
    <w:rsid w:val="00605A04"/>
    <w:rsid w:val="00606368"/>
    <w:rsid w:val="0060654B"/>
    <w:rsid w:val="00606CC2"/>
    <w:rsid w:val="00606F65"/>
    <w:rsid w:val="00607230"/>
    <w:rsid w:val="0060739F"/>
    <w:rsid w:val="006074A7"/>
    <w:rsid w:val="00607835"/>
    <w:rsid w:val="00607D7B"/>
    <w:rsid w:val="006101BE"/>
    <w:rsid w:val="0061054F"/>
    <w:rsid w:val="00610BDA"/>
    <w:rsid w:val="006119DD"/>
    <w:rsid w:val="0061268A"/>
    <w:rsid w:val="0061288B"/>
    <w:rsid w:val="00612AF1"/>
    <w:rsid w:val="0061301D"/>
    <w:rsid w:val="00613111"/>
    <w:rsid w:val="00613484"/>
    <w:rsid w:val="00614366"/>
    <w:rsid w:val="0061456E"/>
    <w:rsid w:val="00614ACE"/>
    <w:rsid w:val="00614E9E"/>
    <w:rsid w:val="0061509F"/>
    <w:rsid w:val="006158EE"/>
    <w:rsid w:val="00615933"/>
    <w:rsid w:val="00615A36"/>
    <w:rsid w:val="0061665E"/>
    <w:rsid w:val="00616932"/>
    <w:rsid w:val="00616C25"/>
    <w:rsid w:val="006172D8"/>
    <w:rsid w:val="006174B2"/>
    <w:rsid w:val="00617A86"/>
    <w:rsid w:val="00620317"/>
    <w:rsid w:val="006205F8"/>
    <w:rsid w:val="0062088B"/>
    <w:rsid w:val="00620DFB"/>
    <w:rsid w:val="00620FB9"/>
    <w:rsid w:val="00620FE1"/>
    <w:rsid w:val="0062107E"/>
    <w:rsid w:val="006211BD"/>
    <w:rsid w:val="0062175F"/>
    <w:rsid w:val="00621773"/>
    <w:rsid w:val="0062192A"/>
    <w:rsid w:val="00621EBC"/>
    <w:rsid w:val="006224C6"/>
    <w:rsid w:val="00622A24"/>
    <w:rsid w:val="00622F2D"/>
    <w:rsid w:val="0062385D"/>
    <w:rsid w:val="00624423"/>
    <w:rsid w:val="00624555"/>
    <w:rsid w:val="0062456C"/>
    <w:rsid w:val="006246FC"/>
    <w:rsid w:val="006249FC"/>
    <w:rsid w:val="00624CA1"/>
    <w:rsid w:val="00625000"/>
    <w:rsid w:val="0062504B"/>
    <w:rsid w:val="006259BE"/>
    <w:rsid w:val="00625CD0"/>
    <w:rsid w:val="00626086"/>
    <w:rsid w:val="006264C6"/>
    <w:rsid w:val="0062663C"/>
    <w:rsid w:val="00626B02"/>
    <w:rsid w:val="00627426"/>
    <w:rsid w:val="00627606"/>
    <w:rsid w:val="00627BCC"/>
    <w:rsid w:val="00627D89"/>
    <w:rsid w:val="006303ED"/>
    <w:rsid w:val="0063066B"/>
    <w:rsid w:val="00630AC0"/>
    <w:rsid w:val="00630D71"/>
    <w:rsid w:val="00630EA6"/>
    <w:rsid w:val="00631034"/>
    <w:rsid w:val="006317E6"/>
    <w:rsid w:val="00631938"/>
    <w:rsid w:val="00631AAD"/>
    <w:rsid w:val="00631ED7"/>
    <w:rsid w:val="006321AC"/>
    <w:rsid w:val="00632670"/>
    <w:rsid w:val="0063306A"/>
    <w:rsid w:val="006333F2"/>
    <w:rsid w:val="00634309"/>
    <w:rsid w:val="006343CA"/>
    <w:rsid w:val="006344E5"/>
    <w:rsid w:val="006345F6"/>
    <w:rsid w:val="00635869"/>
    <w:rsid w:val="00635BC0"/>
    <w:rsid w:val="00635C1F"/>
    <w:rsid w:val="006362E4"/>
    <w:rsid w:val="006368F6"/>
    <w:rsid w:val="00636961"/>
    <w:rsid w:val="0063698D"/>
    <w:rsid w:val="00637092"/>
    <w:rsid w:val="006370FC"/>
    <w:rsid w:val="006371F6"/>
    <w:rsid w:val="00637916"/>
    <w:rsid w:val="00637DF9"/>
    <w:rsid w:val="00637E62"/>
    <w:rsid w:val="00637E71"/>
    <w:rsid w:val="00637ECA"/>
    <w:rsid w:val="00641525"/>
    <w:rsid w:val="00641A16"/>
    <w:rsid w:val="00641FC4"/>
    <w:rsid w:val="006421A4"/>
    <w:rsid w:val="006424AE"/>
    <w:rsid w:val="00642A5E"/>
    <w:rsid w:val="00642E80"/>
    <w:rsid w:val="00643213"/>
    <w:rsid w:val="00643704"/>
    <w:rsid w:val="00644261"/>
    <w:rsid w:val="00644394"/>
    <w:rsid w:val="006447A4"/>
    <w:rsid w:val="00644976"/>
    <w:rsid w:val="00644BB3"/>
    <w:rsid w:val="00644BE3"/>
    <w:rsid w:val="006457F9"/>
    <w:rsid w:val="00645987"/>
    <w:rsid w:val="00645B28"/>
    <w:rsid w:val="00645E47"/>
    <w:rsid w:val="006462F3"/>
    <w:rsid w:val="00646721"/>
    <w:rsid w:val="0064680D"/>
    <w:rsid w:val="00646D94"/>
    <w:rsid w:val="0064708C"/>
    <w:rsid w:val="006473E2"/>
    <w:rsid w:val="00647AB2"/>
    <w:rsid w:val="00650166"/>
    <w:rsid w:val="006503CA"/>
    <w:rsid w:val="00650465"/>
    <w:rsid w:val="00650C8C"/>
    <w:rsid w:val="00650D9C"/>
    <w:rsid w:val="0065220D"/>
    <w:rsid w:val="006525D3"/>
    <w:rsid w:val="00652F0B"/>
    <w:rsid w:val="00653389"/>
    <w:rsid w:val="00653866"/>
    <w:rsid w:val="00653BD6"/>
    <w:rsid w:val="00653E61"/>
    <w:rsid w:val="006543C0"/>
    <w:rsid w:val="00654702"/>
    <w:rsid w:val="00654CAF"/>
    <w:rsid w:val="0065507E"/>
    <w:rsid w:val="0065520D"/>
    <w:rsid w:val="006553F2"/>
    <w:rsid w:val="006556E5"/>
    <w:rsid w:val="00655B3F"/>
    <w:rsid w:val="00655B92"/>
    <w:rsid w:val="006560DB"/>
    <w:rsid w:val="00656153"/>
    <w:rsid w:val="00656288"/>
    <w:rsid w:val="00656291"/>
    <w:rsid w:val="00656730"/>
    <w:rsid w:val="006569B5"/>
    <w:rsid w:val="006571E1"/>
    <w:rsid w:val="00657611"/>
    <w:rsid w:val="006576AA"/>
    <w:rsid w:val="00657ADF"/>
    <w:rsid w:val="00657F9C"/>
    <w:rsid w:val="00660B26"/>
    <w:rsid w:val="00660F3D"/>
    <w:rsid w:val="0066145F"/>
    <w:rsid w:val="006616C1"/>
    <w:rsid w:val="00661793"/>
    <w:rsid w:val="00661AAD"/>
    <w:rsid w:val="00661B5E"/>
    <w:rsid w:val="00661D82"/>
    <w:rsid w:val="00662DAA"/>
    <w:rsid w:val="006636D6"/>
    <w:rsid w:val="00663B45"/>
    <w:rsid w:val="00663D86"/>
    <w:rsid w:val="00664E0D"/>
    <w:rsid w:val="006650E4"/>
    <w:rsid w:val="006654FB"/>
    <w:rsid w:val="00665512"/>
    <w:rsid w:val="006661C1"/>
    <w:rsid w:val="00666AC2"/>
    <w:rsid w:val="00666F3E"/>
    <w:rsid w:val="0066705B"/>
    <w:rsid w:val="00667098"/>
    <w:rsid w:val="00667B2D"/>
    <w:rsid w:val="0067043F"/>
    <w:rsid w:val="006705D2"/>
    <w:rsid w:val="00670A95"/>
    <w:rsid w:val="00670D9B"/>
    <w:rsid w:val="00671345"/>
    <w:rsid w:val="0067146D"/>
    <w:rsid w:val="0067146F"/>
    <w:rsid w:val="006714DF"/>
    <w:rsid w:val="0067176C"/>
    <w:rsid w:val="0067203B"/>
    <w:rsid w:val="00672132"/>
    <w:rsid w:val="006733C1"/>
    <w:rsid w:val="0067360C"/>
    <w:rsid w:val="00673A0C"/>
    <w:rsid w:val="00673D28"/>
    <w:rsid w:val="00673D5A"/>
    <w:rsid w:val="00674365"/>
    <w:rsid w:val="0067440C"/>
    <w:rsid w:val="00674B55"/>
    <w:rsid w:val="00674FE1"/>
    <w:rsid w:val="00675379"/>
    <w:rsid w:val="00675780"/>
    <w:rsid w:val="00675AB2"/>
    <w:rsid w:val="00676092"/>
    <w:rsid w:val="00677247"/>
    <w:rsid w:val="0068004B"/>
    <w:rsid w:val="00680A7F"/>
    <w:rsid w:val="0068229C"/>
    <w:rsid w:val="006824E8"/>
    <w:rsid w:val="006826CC"/>
    <w:rsid w:val="00682C76"/>
    <w:rsid w:val="006836E6"/>
    <w:rsid w:val="0068398E"/>
    <w:rsid w:val="00683B0B"/>
    <w:rsid w:val="00683F9B"/>
    <w:rsid w:val="0068428A"/>
    <w:rsid w:val="00684C63"/>
    <w:rsid w:val="00684CCF"/>
    <w:rsid w:val="00684EB3"/>
    <w:rsid w:val="00685422"/>
    <w:rsid w:val="006855F1"/>
    <w:rsid w:val="00685604"/>
    <w:rsid w:val="006856DB"/>
    <w:rsid w:val="00685B64"/>
    <w:rsid w:val="00686220"/>
    <w:rsid w:val="00686686"/>
    <w:rsid w:val="00686855"/>
    <w:rsid w:val="00686E66"/>
    <w:rsid w:val="00686F29"/>
    <w:rsid w:val="0068767E"/>
    <w:rsid w:val="00687A86"/>
    <w:rsid w:val="00690446"/>
    <w:rsid w:val="006906C6"/>
    <w:rsid w:val="00690834"/>
    <w:rsid w:val="00690DCD"/>
    <w:rsid w:val="00691054"/>
    <w:rsid w:val="0069110F"/>
    <w:rsid w:val="00691415"/>
    <w:rsid w:val="00691923"/>
    <w:rsid w:val="0069257E"/>
    <w:rsid w:val="006927B1"/>
    <w:rsid w:val="00692B79"/>
    <w:rsid w:val="00692B86"/>
    <w:rsid w:val="00692D0F"/>
    <w:rsid w:val="00693539"/>
    <w:rsid w:val="006940D8"/>
    <w:rsid w:val="00694167"/>
    <w:rsid w:val="00694759"/>
    <w:rsid w:val="00694A3F"/>
    <w:rsid w:val="00694F39"/>
    <w:rsid w:val="006951AA"/>
    <w:rsid w:val="0069591C"/>
    <w:rsid w:val="006961C4"/>
    <w:rsid w:val="00696670"/>
    <w:rsid w:val="00696C06"/>
    <w:rsid w:val="00696C35"/>
    <w:rsid w:val="00696DF0"/>
    <w:rsid w:val="00697002"/>
    <w:rsid w:val="00697568"/>
    <w:rsid w:val="00697C43"/>
    <w:rsid w:val="006A0363"/>
    <w:rsid w:val="006A0472"/>
    <w:rsid w:val="006A0C4C"/>
    <w:rsid w:val="006A1CCA"/>
    <w:rsid w:val="006A1D64"/>
    <w:rsid w:val="006A2715"/>
    <w:rsid w:val="006A2C6C"/>
    <w:rsid w:val="006A2D69"/>
    <w:rsid w:val="006A2E7E"/>
    <w:rsid w:val="006A3D0A"/>
    <w:rsid w:val="006A3DCA"/>
    <w:rsid w:val="006A3DF4"/>
    <w:rsid w:val="006A41A9"/>
    <w:rsid w:val="006A48D1"/>
    <w:rsid w:val="006A4D03"/>
    <w:rsid w:val="006A4D2D"/>
    <w:rsid w:val="006A4EE4"/>
    <w:rsid w:val="006A4F51"/>
    <w:rsid w:val="006A5571"/>
    <w:rsid w:val="006A575D"/>
    <w:rsid w:val="006A5E5A"/>
    <w:rsid w:val="006A6456"/>
    <w:rsid w:val="006A6CFF"/>
    <w:rsid w:val="006A6D61"/>
    <w:rsid w:val="006A6DA2"/>
    <w:rsid w:val="006A7086"/>
    <w:rsid w:val="006A7F2F"/>
    <w:rsid w:val="006B0056"/>
    <w:rsid w:val="006B07B3"/>
    <w:rsid w:val="006B0EBF"/>
    <w:rsid w:val="006B0EE8"/>
    <w:rsid w:val="006B0F34"/>
    <w:rsid w:val="006B0FFD"/>
    <w:rsid w:val="006B13F8"/>
    <w:rsid w:val="006B1AFE"/>
    <w:rsid w:val="006B1B07"/>
    <w:rsid w:val="006B23AF"/>
    <w:rsid w:val="006B27CA"/>
    <w:rsid w:val="006B2D04"/>
    <w:rsid w:val="006B2DF8"/>
    <w:rsid w:val="006B3242"/>
    <w:rsid w:val="006B3C6C"/>
    <w:rsid w:val="006B45C5"/>
    <w:rsid w:val="006B485A"/>
    <w:rsid w:val="006B4A6A"/>
    <w:rsid w:val="006B4E99"/>
    <w:rsid w:val="006B55CB"/>
    <w:rsid w:val="006B573C"/>
    <w:rsid w:val="006B5821"/>
    <w:rsid w:val="006B5A31"/>
    <w:rsid w:val="006B62F7"/>
    <w:rsid w:val="006B644B"/>
    <w:rsid w:val="006B65A2"/>
    <w:rsid w:val="006B6F16"/>
    <w:rsid w:val="006B7011"/>
    <w:rsid w:val="006B736C"/>
    <w:rsid w:val="006B7D91"/>
    <w:rsid w:val="006C021B"/>
    <w:rsid w:val="006C02EF"/>
    <w:rsid w:val="006C1181"/>
    <w:rsid w:val="006C1954"/>
    <w:rsid w:val="006C1AEC"/>
    <w:rsid w:val="006C2264"/>
    <w:rsid w:val="006C228D"/>
    <w:rsid w:val="006C2816"/>
    <w:rsid w:val="006C28F6"/>
    <w:rsid w:val="006C29A9"/>
    <w:rsid w:val="006C2B26"/>
    <w:rsid w:val="006C2DBB"/>
    <w:rsid w:val="006C327F"/>
    <w:rsid w:val="006C3E79"/>
    <w:rsid w:val="006C4D26"/>
    <w:rsid w:val="006C4DAE"/>
    <w:rsid w:val="006C4E02"/>
    <w:rsid w:val="006C5746"/>
    <w:rsid w:val="006C5D19"/>
    <w:rsid w:val="006C5D4D"/>
    <w:rsid w:val="006C60A2"/>
    <w:rsid w:val="006C6D03"/>
    <w:rsid w:val="006C727D"/>
    <w:rsid w:val="006C7E07"/>
    <w:rsid w:val="006C7E47"/>
    <w:rsid w:val="006C7E5B"/>
    <w:rsid w:val="006C7F00"/>
    <w:rsid w:val="006D0384"/>
    <w:rsid w:val="006D0A4F"/>
    <w:rsid w:val="006D0BF0"/>
    <w:rsid w:val="006D0EA3"/>
    <w:rsid w:val="006D0FF8"/>
    <w:rsid w:val="006D19A0"/>
    <w:rsid w:val="006D1FFF"/>
    <w:rsid w:val="006D23B6"/>
    <w:rsid w:val="006D2573"/>
    <w:rsid w:val="006D26E4"/>
    <w:rsid w:val="006D29E2"/>
    <w:rsid w:val="006D29F0"/>
    <w:rsid w:val="006D2F03"/>
    <w:rsid w:val="006D2F6B"/>
    <w:rsid w:val="006D34D8"/>
    <w:rsid w:val="006D3849"/>
    <w:rsid w:val="006D3D99"/>
    <w:rsid w:val="006D3E83"/>
    <w:rsid w:val="006D4493"/>
    <w:rsid w:val="006D462D"/>
    <w:rsid w:val="006D4B1D"/>
    <w:rsid w:val="006D4E8A"/>
    <w:rsid w:val="006D4F73"/>
    <w:rsid w:val="006D5117"/>
    <w:rsid w:val="006D519C"/>
    <w:rsid w:val="006D5B17"/>
    <w:rsid w:val="006D6141"/>
    <w:rsid w:val="006D67E7"/>
    <w:rsid w:val="006D749A"/>
    <w:rsid w:val="006E0852"/>
    <w:rsid w:val="006E1B60"/>
    <w:rsid w:val="006E1C6C"/>
    <w:rsid w:val="006E2182"/>
    <w:rsid w:val="006E2914"/>
    <w:rsid w:val="006E2CDF"/>
    <w:rsid w:val="006E347E"/>
    <w:rsid w:val="006E3FDD"/>
    <w:rsid w:val="006E4090"/>
    <w:rsid w:val="006E42AC"/>
    <w:rsid w:val="006E4986"/>
    <w:rsid w:val="006E512B"/>
    <w:rsid w:val="006E56FF"/>
    <w:rsid w:val="006E5710"/>
    <w:rsid w:val="006E5997"/>
    <w:rsid w:val="006E657A"/>
    <w:rsid w:val="006E6C88"/>
    <w:rsid w:val="006E7720"/>
    <w:rsid w:val="006E7B9C"/>
    <w:rsid w:val="006F03B8"/>
    <w:rsid w:val="006F067F"/>
    <w:rsid w:val="006F15BB"/>
    <w:rsid w:val="006F1756"/>
    <w:rsid w:val="006F197F"/>
    <w:rsid w:val="006F1B49"/>
    <w:rsid w:val="006F22FF"/>
    <w:rsid w:val="006F2922"/>
    <w:rsid w:val="006F2ADB"/>
    <w:rsid w:val="006F3AC7"/>
    <w:rsid w:val="006F3EF3"/>
    <w:rsid w:val="006F5491"/>
    <w:rsid w:val="006F5EAA"/>
    <w:rsid w:val="006F62B8"/>
    <w:rsid w:val="006F6B1E"/>
    <w:rsid w:val="006F6FFF"/>
    <w:rsid w:val="006F746F"/>
    <w:rsid w:val="006F78CE"/>
    <w:rsid w:val="006F797D"/>
    <w:rsid w:val="006F7BCF"/>
    <w:rsid w:val="007002B7"/>
    <w:rsid w:val="00700C77"/>
    <w:rsid w:val="00700C9E"/>
    <w:rsid w:val="00701243"/>
    <w:rsid w:val="00701BBD"/>
    <w:rsid w:val="007021E8"/>
    <w:rsid w:val="007028B1"/>
    <w:rsid w:val="007029B2"/>
    <w:rsid w:val="00702A38"/>
    <w:rsid w:val="00702AC5"/>
    <w:rsid w:val="00702B6F"/>
    <w:rsid w:val="00703003"/>
    <w:rsid w:val="00703705"/>
    <w:rsid w:val="00703744"/>
    <w:rsid w:val="0070394A"/>
    <w:rsid w:val="00703A43"/>
    <w:rsid w:val="00704187"/>
    <w:rsid w:val="007041DF"/>
    <w:rsid w:val="00705692"/>
    <w:rsid w:val="00705CDF"/>
    <w:rsid w:val="007063C0"/>
    <w:rsid w:val="007069D8"/>
    <w:rsid w:val="00706A06"/>
    <w:rsid w:val="007070FC"/>
    <w:rsid w:val="0070738F"/>
    <w:rsid w:val="00707441"/>
    <w:rsid w:val="00707795"/>
    <w:rsid w:val="00707A5E"/>
    <w:rsid w:val="00707B74"/>
    <w:rsid w:val="00707BAF"/>
    <w:rsid w:val="0071037D"/>
    <w:rsid w:val="0071046E"/>
    <w:rsid w:val="0071061A"/>
    <w:rsid w:val="00710742"/>
    <w:rsid w:val="00710809"/>
    <w:rsid w:val="0071150B"/>
    <w:rsid w:val="00711746"/>
    <w:rsid w:val="00711A9C"/>
    <w:rsid w:val="00711CDE"/>
    <w:rsid w:val="007122EE"/>
    <w:rsid w:val="0071272A"/>
    <w:rsid w:val="0071325C"/>
    <w:rsid w:val="00713418"/>
    <w:rsid w:val="0071349C"/>
    <w:rsid w:val="00713BC0"/>
    <w:rsid w:val="00713F88"/>
    <w:rsid w:val="0071410F"/>
    <w:rsid w:val="007149A7"/>
    <w:rsid w:val="007149B1"/>
    <w:rsid w:val="007150BB"/>
    <w:rsid w:val="00715907"/>
    <w:rsid w:val="00716228"/>
    <w:rsid w:val="007165A7"/>
    <w:rsid w:val="00716B15"/>
    <w:rsid w:val="007174A8"/>
    <w:rsid w:val="00717A3B"/>
    <w:rsid w:val="00717CCF"/>
    <w:rsid w:val="0072177A"/>
    <w:rsid w:val="007219BD"/>
    <w:rsid w:val="00721C18"/>
    <w:rsid w:val="00721F3E"/>
    <w:rsid w:val="00721FAB"/>
    <w:rsid w:val="007225E9"/>
    <w:rsid w:val="007226DF"/>
    <w:rsid w:val="0072397F"/>
    <w:rsid w:val="00723CCA"/>
    <w:rsid w:val="00723EC5"/>
    <w:rsid w:val="007242EE"/>
    <w:rsid w:val="00724BB3"/>
    <w:rsid w:val="00725854"/>
    <w:rsid w:val="007264BD"/>
    <w:rsid w:val="00726A49"/>
    <w:rsid w:val="00726C06"/>
    <w:rsid w:val="0072713D"/>
    <w:rsid w:val="00727491"/>
    <w:rsid w:val="0072761D"/>
    <w:rsid w:val="00727680"/>
    <w:rsid w:val="00727716"/>
    <w:rsid w:val="00727A27"/>
    <w:rsid w:val="00727FD9"/>
    <w:rsid w:val="00730AFE"/>
    <w:rsid w:val="00730B57"/>
    <w:rsid w:val="00730DA9"/>
    <w:rsid w:val="0073107A"/>
    <w:rsid w:val="00731160"/>
    <w:rsid w:val="00731200"/>
    <w:rsid w:val="0073151A"/>
    <w:rsid w:val="0073190C"/>
    <w:rsid w:val="00731AA9"/>
    <w:rsid w:val="00731C06"/>
    <w:rsid w:val="0073233A"/>
    <w:rsid w:val="00732BDE"/>
    <w:rsid w:val="00733476"/>
    <w:rsid w:val="00733745"/>
    <w:rsid w:val="00733DBF"/>
    <w:rsid w:val="007344B4"/>
    <w:rsid w:val="0073520F"/>
    <w:rsid w:val="00735389"/>
    <w:rsid w:val="00735C9F"/>
    <w:rsid w:val="00735E2A"/>
    <w:rsid w:val="00736A0B"/>
    <w:rsid w:val="00736B76"/>
    <w:rsid w:val="00736D58"/>
    <w:rsid w:val="00736FC3"/>
    <w:rsid w:val="0073715A"/>
    <w:rsid w:val="00737608"/>
    <w:rsid w:val="007378C1"/>
    <w:rsid w:val="00737A75"/>
    <w:rsid w:val="00737CCE"/>
    <w:rsid w:val="00737E3B"/>
    <w:rsid w:val="00737F5F"/>
    <w:rsid w:val="00740628"/>
    <w:rsid w:val="00740FFB"/>
    <w:rsid w:val="0074124A"/>
    <w:rsid w:val="00741469"/>
    <w:rsid w:val="007415DA"/>
    <w:rsid w:val="00741706"/>
    <w:rsid w:val="00741B4B"/>
    <w:rsid w:val="00741C2F"/>
    <w:rsid w:val="00741C87"/>
    <w:rsid w:val="00741DDA"/>
    <w:rsid w:val="007422FA"/>
    <w:rsid w:val="00742692"/>
    <w:rsid w:val="007428AE"/>
    <w:rsid w:val="00742970"/>
    <w:rsid w:val="00742E0B"/>
    <w:rsid w:val="0074307F"/>
    <w:rsid w:val="0074360B"/>
    <w:rsid w:val="007437AF"/>
    <w:rsid w:val="00744569"/>
    <w:rsid w:val="00744CB1"/>
    <w:rsid w:val="00745FA8"/>
    <w:rsid w:val="007466E5"/>
    <w:rsid w:val="00746CC2"/>
    <w:rsid w:val="00746D10"/>
    <w:rsid w:val="00747028"/>
    <w:rsid w:val="007470F4"/>
    <w:rsid w:val="007474DF"/>
    <w:rsid w:val="007475C6"/>
    <w:rsid w:val="00747643"/>
    <w:rsid w:val="00750084"/>
    <w:rsid w:val="007505C4"/>
    <w:rsid w:val="00750E7F"/>
    <w:rsid w:val="0075123F"/>
    <w:rsid w:val="00751542"/>
    <w:rsid w:val="00751D65"/>
    <w:rsid w:val="007520FD"/>
    <w:rsid w:val="0075273A"/>
    <w:rsid w:val="007535DE"/>
    <w:rsid w:val="00753DAB"/>
    <w:rsid w:val="007541DB"/>
    <w:rsid w:val="00754396"/>
    <w:rsid w:val="00754634"/>
    <w:rsid w:val="007546DC"/>
    <w:rsid w:val="00754A1E"/>
    <w:rsid w:val="00754DDA"/>
    <w:rsid w:val="00755017"/>
    <w:rsid w:val="007559A2"/>
    <w:rsid w:val="00755A2F"/>
    <w:rsid w:val="00755B3D"/>
    <w:rsid w:val="00756492"/>
    <w:rsid w:val="00756D7C"/>
    <w:rsid w:val="00756EC1"/>
    <w:rsid w:val="00756F2D"/>
    <w:rsid w:val="0075723D"/>
    <w:rsid w:val="00757883"/>
    <w:rsid w:val="00757A75"/>
    <w:rsid w:val="00760863"/>
    <w:rsid w:val="007608F5"/>
    <w:rsid w:val="0076099C"/>
    <w:rsid w:val="007612A4"/>
    <w:rsid w:val="00761E73"/>
    <w:rsid w:val="00761E9A"/>
    <w:rsid w:val="00762117"/>
    <w:rsid w:val="0076245D"/>
    <w:rsid w:val="00762566"/>
    <w:rsid w:val="007625DE"/>
    <w:rsid w:val="0076264A"/>
    <w:rsid w:val="00762BC8"/>
    <w:rsid w:val="007633D4"/>
    <w:rsid w:val="00763DB8"/>
    <w:rsid w:val="0076537D"/>
    <w:rsid w:val="0076546C"/>
    <w:rsid w:val="00765752"/>
    <w:rsid w:val="00765B6A"/>
    <w:rsid w:val="0076640E"/>
    <w:rsid w:val="0076654E"/>
    <w:rsid w:val="007667CC"/>
    <w:rsid w:val="0076682A"/>
    <w:rsid w:val="00766A39"/>
    <w:rsid w:val="00767163"/>
    <w:rsid w:val="007674C2"/>
    <w:rsid w:val="007675F8"/>
    <w:rsid w:val="0076768E"/>
    <w:rsid w:val="007678C5"/>
    <w:rsid w:val="00767D3D"/>
    <w:rsid w:val="00770391"/>
    <w:rsid w:val="00770E08"/>
    <w:rsid w:val="00770EF6"/>
    <w:rsid w:val="0077186B"/>
    <w:rsid w:val="007718CF"/>
    <w:rsid w:val="0077229F"/>
    <w:rsid w:val="007733A1"/>
    <w:rsid w:val="00773745"/>
    <w:rsid w:val="00773EF7"/>
    <w:rsid w:val="0077461B"/>
    <w:rsid w:val="00775072"/>
    <w:rsid w:val="007752D5"/>
    <w:rsid w:val="00775AD6"/>
    <w:rsid w:val="00775B3C"/>
    <w:rsid w:val="00775D63"/>
    <w:rsid w:val="00775DC5"/>
    <w:rsid w:val="00776B75"/>
    <w:rsid w:val="0077703D"/>
    <w:rsid w:val="007771B2"/>
    <w:rsid w:val="007774AD"/>
    <w:rsid w:val="007775BC"/>
    <w:rsid w:val="00780069"/>
    <w:rsid w:val="00780357"/>
    <w:rsid w:val="007805C5"/>
    <w:rsid w:val="007806CC"/>
    <w:rsid w:val="0078097D"/>
    <w:rsid w:val="00780A11"/>
    <w:rsid w:val="00780C62"/>
    <w:rsid w:val="007814EB"/>
    <w:rsid w:val="007814ED"/>
    <w:rsid w:val="007821A0"/>
    <w:rsid w:val="00782456"/>
    <w:rsid w:val="007824D2"/>
    <w:rsid w:val="007826FB"/>
    <w:rsid w:val="00782865"/>
    <w:rsid w:val="00782C63"/>
    <w:rsid w:val="00782D1C"/>
    <w:rsid w:val="00782E07"/>
    <w:rsid w:val="007830CA"/>
    <w:rsid w:val="007834BF"/>
    <w:rsid w:val="00783764"/>
    <w:rsid w:val="00783C42"/>
    <w:rsid w:val="0078415F"/>
    <w:rsid w:val="0078432C"/>
    <w:rsid w:val="00784408"/>
    <w:rsid w:val="007846B8"/>
    <w:rsid w:val="00784884"/>
    <w:rsid w:val="00786053"/>
    <w:rsid w:val="0078663C"/>
    <w:rsid w:val="007868A8"/>
    <w:rsid w:val="00786A36"/>
    <w:rsid w:val="007873AA"/>
    <w:rsid w:val="00787D0E"/>
    <w:rsid w:val="00787E2A"/>
    <w:rsid w:val="0079064F"/>
    <w:rsid w:val="00791256"/>
    <w:rsid w:val="007916DF"/>
    <w:rsid w:val="007919ED"/>
    <w:rsid w:val="00791BC0"/>
    <w:rsid w:val="00791C70"/>
    <w:rsid w:val="007923D0"/>
    <w:rsid w:val="007928C7"/>
    <w:rsid w:val="007928C9"/>
    <w:rsid w:val="00792BDC"/>
    <w:rsid w:val="00792D78"/>
    <w:rsid w:val="00792F7C"/>
    <w:rsid w:val="007931C1"/>
    <w:rsid w:val="00793231"/>
    <w:rsid w:val="00793307"/>
    <w:rsid w:val="007933E6"/>
    <w:rsid w:val="00793473"/>
    <w:rsid w:val="00793D47"/>
    <w:rsid w:val="00793DAE"/>
    <w:rsid w:val="00793DE7"/>
    <w:rsid w:val="007946C3"/>
    <w:rsid w:val="00794EE7"/>
    <w:rsid w:val="007950B3"/>
    <w:rsid w:val="007953AC"/>
    <w:rsid w:val="00795602"/>
    <w:rsid w:val="00795780"/>
    <w:rsid w:val="00795988"/>
    <w:rsid w:val="00795D6F"/>
    <w:rsid w:val="0079663C"/>
    <w:rsid w:val="0079677B"/>
    <w:rsid w:val="007967C9"/>
    <w:rsid w:val="00796BFC"/>
    <w:rsid w:val="00796DD1"/>
    <w:rsid w:val="007974B1"/>
    <w:rsid w:val="007974DE"/>
    <w:rsid w:val="007975CC"/>
    <w:rsid w:val="00797991"/>
    <w:rsid w:val="00797F19"/>
    <w:rsid w:val="00797F7D"/>
    <w:rsid w:val="007A00EC"/>
    <w:rsid w:val="007A07DC"/>
    <w:rsid w:val="007A0AF6"/>
    <w:rsid w:val="007A0D20"/>
    <w:rsid w:val="007A1929"/>
    <w:rsid w:val="007A1949"/>
    <w:rsid w:val="007A1A6F"/>
    <w:rsid w:val="007A1D23"/>
    <w:rsid w:val="007A2099"/>
    <w:rsid w:val="007A25B8"/>
    <w:rsid w:val="007A2A3F"/>
    <w:rsid w:val="007A2B98"/>
    <w:rsid w:val="007A2E09"/>
    <w:rsid w:val="007A3405"/>
    <w:rsid w:val="007A3768"/>
    <w:rsid w:val="007A395A"/>
    <w:rsid w:val="007A39BE"/>
    <w:rsid w:val="007A3E7B"/>
    <w:rsid w:val="007A5278"/>
    <w:rsid w:val="007A554C"/>
    <w:rsid w:val="007A585B"/>
    <w:rsid w:val="007A5A05"/>
    <w:rsid w:val="007A63BA"/>
    <w:rsid w:val="007A640E"/>
    <w:rsid w:val="007A652A"/>
    <w:rsid w:val="007A683D"/>
    <w:rsid w:val="007A6A1E"/>
    <w:rsid w:val="007A73F0"/>
    <w:rsid w:val="007A76FA"/>
    <w:rsid w:val="007A7AD7"/>
    <w:rsid w:val="007B03C5"/>
    <w:rsid w:val="007B077E"/>
    <w:rsid w:val="007B0E4C"/>
    <w:rsid w:val="007B0FB1"/>
    <w:rsid w:val="007B10A0"/>
    <w:rsid w:val="007B1845"/>
    <w:rsid w:val="007B33C7"/>
    <w:rsid w:val="007B37DE"/>
    <w:rsid w:val="007B3DAC"/>
    <w:rsid w:val="007B409B"/>
    <w:rsid w:val="007B414C"/>
    <w:rsid w:val="007B4437"/>
    <w:rsid w:val="007B45BB"/>
    <w:rsid w:val="007B4667"/>
    <w:rsid w:val="007B486C"/>
    <w:rsid w:val="007B48CD"/>
    <w:rsid w:val="007B5004"/>
    <w:rsid w:val="007B521C"/>
    <w:rsid w:val="007B5F42"/>
    <w:rsid w:val="007B5FEB"/>
    <w:rsid w:val="007B656A"/>
    <w:rsid w:val="007B6C38"/>
    <w:rsid w:val="007B7431"/>
    <w:rsid w:val="007B761E"/>
    <w:rsid w:val="007B7799"/>
    <w:rsid w:val="007C0575"/>
    <w:rsid w:val="007C073E"/>
    <w:rsid w:val="007C07AA"/>
    <w:rsid w:val="007C0FB9"/>
    <w:rsid w:val="007C1033"/>
    <w:rsid w:val="007C117E"/>
    <w:rsid w:val="007C15C1"/>
    <w:rsid w:val="007C15F3"/>
    <w:rsid w:val="007C1C82"/>
    <w:rsid w:val="007C1DF2"/>
    <w:rsid w:val="007C23EA"/>
    <w:rsid w:val="007C30A0"/>
    <w:rsid w:val="007C3311"/>
    <w:rsid w:val="007C3763"/>
    <w:rsid w:val="007C3802"/>
    <w:rsid w:val="007C3C74"/>
    <w:rsid w:val="007C400A"/>
    <w:rsid w:val="007C418A"/>
    <w:rsid w:val="007C45B4"/>
    <w:rsid w:val="007C4760"/>
    <w:rsid w:val="007C48CE"/>
    <w:rsid w:val="007C54C5"/>
    <w:rsid w:val="007C6030"/>
    <w:rsid w:val="007C6930"/>
    <w:rsid w:val="007C6AAF"/>
    <w:rsid w:val="007C715C"/>
    <w:rsid w:val="007C7617"/>
    <w:rsid w:val="007C7769"/>
    <w:rsid w:val="007C7E86"/>
    <w:rsid w:val="007D08BF"/>
    <w:rsid w:val="007D1409"/>
    <w:rsid w:val="007D2189"/>
    <w:rsid w:val="007D37B4"/>
    <w:rsid w:val="007D3C91"/>
    <w:rsid w:val="007D4251"/>
    <w:rsid w:val="007D4A84"/>
    <w:rsid w:val="007D5474"/>
    <w:rsid w:val="007D5776"/>
    <w:rsid w:val="007D5B1E"/>
    <w:rsid w:val="007D5E5F"/>
    <w:rsid w:val="007D62CE"/>
    <w:rsid w:val="007D62F6"/>
    <w:rsid w:val="007D647C"/>
    <w:rsid w:val="007D6CFE"/>
    <w:rsid w:val="007D6DD7"/>
    <w:rsid w:val="007D73DD"/>
    <w:rsid w:val="007E0FDF"/>
    <w:rsid w:val="007E14AA"/>
    <w:rsid w:val="007E16DB"/>
    <w:rsid w:val="007E1904"/>
    <w:rsid w:val="007E1FD5"/>
    <w:rsid w:val="007E226F"/>
    <w:rsid w:val="007E22C4"/>
    <w:rsid w:val="007E25F3"/>
    <w:rsid w:val="007E2673"/>
    <w:rsid w:val="007E27F7"/>
    <w:rsid w:val="007E2819"/>
    <w:rsid w:val="007E31CA"/>
    <w:rsid w:val="007E3367"/>
    <w:rsid w:val="007E3832"/>
    <w:rsid w:val="007E394F"/>
    <w:rsid w:val="007E3CB6"/>
    <w:rsid w:val="007E424F"/>
    <w:rsid w:val="007E4D84"/>
    <w:rsid w:val="007E4DA2"/>
    <w:rsid w:val="007E4EEA"/>
    <w:rsid w:val="007E4F4B"/>
    <w:rsid w:val="007E5061"/>
    <w:rsid w:val="007E5090"/>
    <w:rsid w:val="007E5783"/>
    <w:rsid w:val="007E57BF"/>
    <w:rsid w:val="007E5896"/>
    <w:rsid w:val="007E5A6D"/>
    <w:rsid w:val="007E5C79"/>
    <w:rsid w:val="007E5C91"/>
    <w:rsid w:val="007E5E6F"/>
    <w:rsid w:val="007E5F7B"/>
    <w:rsid w:val="007E61E5"/>
    <w:rsid w:val="007E6217"/>
    <w:rsid w:val="007E6233"/>
    <w:rsid w:val="007E636D"/>
    <w:rsid w:val="007E65AA"/>
    <w:rsid w:val="007E678A"/>
    <w:rsid w:val="007E691D"/>
    <w:rsid w:val="007E6AB6"/>
    <w:rsid w:val="007E6B3C"/>
    <w:rsid w:val="007E7E62"/>
    <w:rsid w:val="007F061C"/>
    <w:rsid w:val="007F06B3"/>
    <w:rsid w:val="007F089A"/>
    <w:rsid w:val="007F0B39"/>
    <w:rsid w:val="007F0CA6"/>
    <w:rsid w:val="007F0F6B"/>
    <w:rsid w:val="007F13C7"/>
    <w:rsid w:val="007F217F"/>
    <w:rsid w:val="007F2C9E"/>
    <w:rsid w:val="007F2DBF"/>
    <w:rsid w:val="007F2EE4"/>
    <w:rsid w:val="007F2FA3"/>
    <w:rsid w:val="007F30B8"/>
    <w:rsid w:val="007F3578"/>
    <w:rsid w:val="007F38CC"/>
    <w:rsid w:val="007F456B"/>
    <w:rsid w:val="007F4E63"/>
    <w:rsid w:val="007F4EA5"/>
    <w:rsid w:val="007F50E6"/>
    <w:rsid w:val="007F5420"/>
    <w:rsid w:val="007F650F"/>
    <w:rsid w:val="007F654A"/>
    <w:rsid w:val="007F6BF0"/>
    <w:rsid w:val="00801193"/>
    <w:rsid w:val="008014CC"/>
    <w:rsid w:val="0080176E"/>
    <w:rsid w:val="00801A8E"/>
    <w:rsid w:val="00801F01"/>
    <w:rsid w:val="00801F13"/>
    <w:rsid w:val="00802119"/>
    <w:rsid w:val="0080260C"/>
    <w:rsid w:val="00802667"/>
    <w:rsid w:val="00802FF9"/>
    <w:rsid w:val="0080443C"/>
    <w:rsid w:val="0080495E"/>
    <w:rsid w:val="00804976"/>
    <w:rsid w:val="008053FD"/>
    <w:rsid w:val="0080557D"/>
    <w:rsid w:val="00805E1F"/>
    <w:rsid w:val="00806B2F"/>
    <w:rsid w:val="00806DB0"/>
    <w:rsid w:val="00806E29"/>
    <w:rsid w:val="0080776F"/>
    <w:rsid w:val="00807AA9"/>
    <w:rsid w:val="00807F92"/>
    <w:rsid w:val="00810498"/>
    <w:rsid w:val="008104C4"/>
    <w:rsid w:val="00810D82"/>
    <w:rsid w:val="00810EE6"/>
    <w:rsid w:val="008117EE"/>
    <w:rsid w:val="008118E6"/>
    <w:rsid w:val="00811A85"/>
    <w:rsid w:val="00811B72"/>
    <w:rsid w:val="00812622"/>
    <w:rsid w:val="00813566"/>
    <w:rsid w:val="008137A5"/>
    <w:rsid w:val="008138C8"/>
    <w:rsid w:val="008139CC"/>
    <w:rsid w:val="00813B78"/>
    <w:rsid w:val="008140A2"/>
    <w:rsid w:val="0081433E"/>
    <w:rsid w:val="008146AC"/>
    <w:rsid w:val="00814A84"/>
    <w:rsid w:val="00815005"/>
    <w:rsid w:val="00815145"/>
    <w:rsid w:val="00815379"/>
    <w:rsid w:val="00815429"/>
    <w:rsid w:val="008158D1"/>
    <w:rsid w:val="008158EB"/>
    <w:rsid w:val="00815C68"/>
    <w:rsid w:val="00816C9F"/>
    <w:rsid w:val="00817065"/>
    <w:rsid w:val="008170DF"/>
    <w:rsid w:val="0081722C"/>
    <w:rsid w:val="00817299"/>
    <w:rsid w:val="00817379"/>
    <w:rsid w:val="008175FF"/>
    <w:rsid w:val="0081765A"/>
    <w:rsid w:val="008177BD"/>
    <w:rsid w:val="008178A7"/>
    <w:rsid w:val="00817A6A"/>
    <w:rsid w:val="00817CCF"/>
    <w:rsid w:val="008211FD"/>
    <w:rsid w:val="008214EF"/>
    <w:rsid w:val="00821862"/>
    <w:rsid w:val="008219E1"/>
    <w:rsid w:val="00821B80"/>
    <w:rsid w:val="00821D05"/>
    <w:rsid w:val="0082225E"/>
    <w:rsid w:val="008223C4"/>
    <w:rsid w:val="008223FB"/>
    <w:rsid w:val="00822400"/>
    <w:rsid w:val="008225D2"/>
    <w:rsid w:val="00822630"/>
    <w:rsid w:val="00823E39"/>
    <w:rsid w:val="00824330"/>
    <w:rsid w:val="00824992"/>
    <w:rsid w:val="00824A5A"/>
    <w:rsid w:val="00824D6C"/>
    <w:rsid w:val="0082529B"/>
    <w:rsid w:val="008260DB"/>
    <w:rsid w:val="008262CE"/>
    <w:rsid w:val="0082653B"/>
    <w:rsid w:val="00826705"/>
    <w:rsid w:val="00826C56"/>
    <w:rsid w:val="0082714F"/>
    <w:rsid w:val="0082778F"/>
    <w:rsid w:val="00827C0B"/>
    <w:rsid w:val="008303BF"/>
    <w:rsid w:val="008307B2"/>
    <w:rsid w:val="00830910"/>
    <w:rsid w:val="0083135E"/>
    <w:rsid w:val="00831490"/>
    <w:rsid w:val="008314B9"/>
    <w:rsid w:val="0083189B"/>
    <w:rsid w:val="00831B89"/>
    <w:rsid w:val="0083225A"/>
    <w:rsid w:val="008329BF"/>
    <w:rsid w:val="00832A4A"/>
    <w:rsid w:val="00832CD5"/>
    <w:rsid w:val="00832E69"/>
    <w:rsid w:val="00833231"/>
    <w:rsid w:val="008334DC"/>
    <w:rsid w:val="0083366C"/>
    <w:rsid w:val="0083393F"/>
    <w:rsid w:val="008339CD"/>
    <w:rsid w:val="00833E6C"/>
    <w:rsid w:val="00834075"/>
    <w:rsid w:val="00834636"/>
    <w:rsid w:val="0083478E"/>
    <w:rsid w:val="00834D79"/>
    <w:rsid w:val="008355C9"/>
    <w:rsid w:val="00835CD8"/>
    <w:rsid w:val="0083608F"/>
    <w:rsid w:val="00836B23"/>
    <w:rsid w:val="00836E2F"/>
    <w:rsid w:val="0083798A"/>
    <w:rsid w:val="00837FA6"/>
    <w:rsid w:val="008401AF"/>
    <w:rsid w:val="00841BC6"/>
    <w:rsid w:val="00842339"/>
    <w:rsid w:val="008429E6"/>
    <w:rsid w:val="00842A97"/>
    <w:rsid w:val="008430CB"/>
    <w:rsid w:val="00843100"/>
    <w:rsid w:val="00843381"/>
    <w:rsid w:val="008436D1"/>
    <w:rsid w:val="00843BB2"/>
    <w:rsid w:val="008443F9"/>
    <w:rsid w:val="0084472E"/>
    <w:rsid w:val="0084495F"/>
    <w:rsid w:val="00844D85"/>
    <w:rsid w:val="00844F03"/>
    <w:rsid w:val="00845429"/>
    <w:rsid w:val="008454AB"/>
    <w:rsid w:val="008455DE"/>
    <w:rsid w:val="00845B49"/>
    <w:rsid w:val="008461B6"/>
    <w:rsid w:val="008464AA"/>
    <w:rsid w:val="00847515"/>
    <w:rsid w:val="0084755C"/>
    <w:rsid w:val="00847923"/>
    <w:rsid w:val="00847CFC"/>
    <w:rsid w:val="00847D6F"/>
    <w:rsid w:val="00850A77"/>
    <w:rsid w:val="00850CB2"/>
    <w:rsid w:val="00850E53"/>
    <w:rsid w:val="00851481"/>
    <w:rsid w:val="00851517"/>
    <w:rsid w:val="00851634"/>
    <w:rsid w:val="00851802"/>
    <w:rsid w:val="008518AF"/>
    <w:rsid w:val="00851A60"/>
    <w:rsid w:val="00851B07"/>
    <w:rsid w:val="00851B56"/>
    <w:rsid w:val="0085219E"/>
    <w:rsid w:val="00852C10"/>
    <w:rsid w:val="00852D2A"/>
    <w:rsid w:val="00853BA3"/>
    <w:rsid w:val="00853F3C"/>
    <w:rsid w:val="008548FB"/>
    <w:rsid w:val="00854C3D"/>
    <w:rsid w:val="00855363"/>
    <w:rsid w:val="00856085"/>
    <w:rsid w:val="008561B8"/>
    <w:rsid w:val="008565EB"/>
    <w:rsid w:val="00856755"/>
    <w:rsid w:val="0085684B"/>
    <w:rsid w:val="00856F79"/>
    <w:rsid w:val="00857081"/>
    <w:rsid w:val="008571C8"/>
    <w:rsid w:val="008571CD"/>
    <w:rsid w:val="008575C4"/>
    <w:rsid w:val="00857628"/>
    <w:rsid w:val="00857C18"/>
    <w:rsid w:val="00860048"/>
    <w:rsid w:val="00860726"/>
    <w:rsid w:val="0086133E"/>
    <w:rsid w:val="008614BC"/>
    <w:rsid w:val="00861750"/>
    <w:rsid w:val="00861824"/>
    <w:rsid w:val="00861CF8"/>
    <w:rsid w:val="00861FFE"/>
    <w:rsid w:val="008628A2"/>
    <w:rsid w:val="00862EBC"/>
    <w:rsid w:val="008637C8"/>
    <w:rsid w:val="00863EC3"/>
    <w:rsid w:val="00864095"/>
    <w:rsid w:val="0086436E"/>
    <w:rsid w:val="00864679"/>
    <w:rsid w:val="008646D6"/>
    <w:rsid w:val="00864738"/>
    <w:rsid w:val="00864880"/>
    <w:rsid w:val="00864CBD"/>
    <w:rsid w:val="008652D9"/>
    <w:rsid w:val="0086594E"/>
    <w:rsid w:val="0086598D"/>
    <w:rsid w:val="00866613"/>
    <w:rsid w:val="00866825"/>
    <w:rsid w:val="008672BD"/>
    <w:rsid w:val="008672C9"/>
    <w:rsid w:val="00867379"/>
    <w:rsid w:val="00867AAD"/>
    <w:rsid w:val="00867DDF"/>
    <w:rsid w:val="00867E53"/>
    <w:rsid w:val="00867F41"/>
    <w:rsid w:val="00867F9F"/>
    <w:rsid w:val="008700FB"/>
    <w:rsid w:val="008714F6"/>
    <w:rsid w:val="00871FD9"/>
    <w:rsid w:val="008737F0"/>
    <w:rsid w:val="00873B57"/>
    <w:rsid w:val="008743D6"/>
    <w:rsid w:val="008744DD"/>
    <w:rsid w:val="00874943"/>
    <w:rsid w:val="008750E9"/>
    <w:rsid w:val="00875B90"/>
    <w:rsid w:val="00875F1C"/>
    <w:rsid w:val="008764AB"/>
    <w:rsid w:val="0087654B"/>
    <w:rsid w:val="008765D3"/>
    <w:rsid w:val="00876657"/>
    <w:rsid w:val="00876BCA"/>
    <w:rsid w:val="0087728E"/>
    <w:rsid w:val="00877A9B"/>
    <w:rsid w:val="0088054C"/>
    <w:rsid w:val="0088059C"/>
    <w:rsid w:val="0088082E"/>
    <w:rsid w:val="00881652"/>
    <w:rsid w:val="00881D35"/>
    <w:rsid w:val="00881D4A"/>
    <w:rsid w:val="00881D61"/>
    <w:rsid w:val="00881E35"/>
    <w:rsid w:val="00881FAC"/>
    <w:rsid w:val="00882D7C"/>
    <w:rsid w:val="0088375F"/>
    <w:rsid w:val="00883859"/>
    <w:rsid w:val="00883979"/>
    <w:rsid w:val="008849E6"/>
    <w:rsid w:val="00885727"/>
    <w:rsid w:val="00885AAE"/>
    <w:rsid w:val="008872CB"/>
    <w:rsid w:val="008873BE"/>
    <w:rsid w:val="0088760C"/>
    <w:rsid w:val="008876C2"/>
    <w:rsid w:val="0088770F"/>
    <w:rsid w:val="00887859"/>
    <w:rsid w:val="008901BD"/>
    <w:rsid w:val="008901E8"/>
    <w:rsid w:val="008902A6"/>
    <w:rsid w:val="00890AFE"/>
    <w:rsid w:val="00890C2A"/>
    <w:rsid w:val="008911BA"/>
    <w:rsid w:val="008912C8"/>
    <w:rsid w:val="00891BEC"/>
    <w:rsid w:val="00891FBE"/>
    <w:rsid w:val="00891FF7"/>
    <w:rsid w:val="00892654"/>
    <w:rsid w:val="00892763"/>
    <w:rsid w:val="0089277A"/>
    <w:rsid w:val="00892787"/>
    <w:rsid w:val="00892D8B"/>
    <w:rsid w:val="00893132"/>
    <w:rsid w:val="00893221"/>
    <w:rsid w:val="008933A6"/>
    <w:rsid w:val="00893512"/>
    <w:rsid w:val="00893775"/>
    <w:rsid w:val="00893BA7"/>
    <w:rsid w:val="00894059"/>
    <w:rsid w:val="008940A5"/>
    <w:rsid w:val="008940E3"/>
    <w:rsid w:val="00894F56"/>
    <w:rsid w:val="008951AD"/>
    <w:rsid w:val="008959DC"/>
    <w:rsid w:val="00895B98"/>
    <w:rsid w:val="00895D50"/>
    <w:rsid w:val="00896700"/>
    <w:rsid w:val="00896967"/>
    <w:rsid w:val="00896D39"/>
    <w:rsid w:val="0089715F"/>
    <w:rsid w:val="008972EF"/>
    <w:rsid w:val="00897875"/>
    <w:rsid w:val="008A01D7"/>
    <w:rsid w:val="008A0681"/>
    <w:rsid w:val="008A0D1F"/>
    <w:rsid w:val="008A0DB7"/>
    <w:rsid w:val="008A1681"/>
    <w:rsid w:val="008A1A15"/>
    <w:rsid w:val="008A1B34"/>
    <w:rsid w:val="008A1CF1"/>
    <w:rsid w:val="008A2E52"/>
    <w:rsid w:val="008A34A0"/>
    <w:rsid w:val="008A369E"/>
    <w:rsid w:val="008A48CE"/>
    <w:rsid w:val="008A519B"/>
    <w:rsid w:val="008A55DA"/>
    <w:rsid w:val="008A56C4"/>
    <w:rsid w:val="008A5CA5"/>
    <w:rsid w:val="008A6094"/>
    <w:rsid w:val="008A61E6"/>
    <w:rsid w:val="008A651A"/>
    <w:rsid w:val="008A737E"/>
    <w:rsid w:val="008A745D"/>
    <w:rsid w:val="008A79C4"/>
    <w:rsid w:val="008B006B"/>
    <w:rsid w:val="008B0437"/>
    <w:rsid w:val="008B05A8"/>
    <w:rsid w:val="008B0727"/>
    <w:rsid w:val="008B113C"/>
    <w:rsid w:val="008B1823"/>
    <w:rsid w:val="008B1C2F"/>
    <w:rsid w:val="008B1E99"/>
    <w:rsid w:val="008B2319"/>
    <w:rsid w:val="008B2728"/>
    <w:rsid w:val="008B28D3"/>
    <w:rsid w:val="008B2987"/>
    <w:rsid w:val="008B319C"/>
    <w:rsid w:val="008B33D6"/>
    <w:rsid w:val="008B3419"/>
    <w:rsid w:val="008B3610"/>
    <w:rsid w:val="008B3B8E"/>
    <w:rsid w:val="008B4C0D"/>
    <w:rsid w:val="008B513B"/>
    <w:rsid w:val="008B52DF"/>
    <w:rsid w:val="008B5FD9"/>
    <w:rsid w:val="008B6164"/>
    <w:rsid w:val="008B63C4"/>
    <w:rsid w:val="008B665A"/>
    <w:rsid w:val="008B6720"/>
    <w:rsid w:val="008B6BE2"/>
    <w:rsid w:val="008B6D37"/>
    <w:rsid w:val="008B6F87"/>
    <w:rsid w:val="008B71BA"/>
    <w:rsid w:val="008B7453"/>
    <w:rsid w:val="008B77BC"/>
    <w:rsid w:val="008B784E"/>
    <w:rsid w:val="008B7982"/>
    <w:rsid w:val="008B79EC"/>
    <w:rsid w:val="008B7D91"/>
    <w:rsid w:val="008C034E"/>
    <w:rsid w:val="008C0437"/>
    <w:rsid w:val="008C0762"/>
    <w:rsid w:val="008C10BA"/>
    <w:rsid w:val="008C140D"/>
    <w:rsid w:val="008C2031"/>
    <w:rsid w:val="008C217E"/>
    <w:rsid w:val="008C232E"/>
    <w:rsid w:val="008C27A6"/>
    <w:rsid w:val="008C2F03"/>
    <w:rsid w:val="008C3310"/>
    <w:rsid w:val="008C3837"/>
    <w:rsid w:val="008C46C3"/>
    <w:rsid w:val="008C4930"/>
    <w:rsid w:val="008C539D"/>
    <w:rsid w:val="008C557B"/>
    <w:rsid w:val="008C5ABC"/>
    <w:rsid w:val="008C5C7B"/>
    <w:rsid w:val="008C60A2"/>
    <w:rsid w:val="008C6198"/>
    <w:rsid w:val="008C65D1"/>
    <w:rsid w:val="008C6CE6"/>
    <w:rsid w:val="008C77BC"/>
    <w:rsid w:val="008D006A"/>
    <w:rsid w:val="008D013A"/>
    <w:rsid w:val="008D0DEF"/>
    <w:rsid w:val="008D1009"/>
    <w:rsid w:val="008D12D9"/>
    <w:rsid w:val="008D1EC8"/>
    <w:rsid w:val="008D300A"/>
    <w:rsid w:val="008D3289"/>
    <w:rsid w:val="008D3395"/>
    <w:rsid w:val="008D36E2"/>
    <w:rsid w:val="008D3716"/>
    <w:rsid w:val="008D3EE3"/>
    <w:rsid w:val="008D41AB"/>
    <w:rsid w:val="008D4B60"/>
    <w:rsid w:val="008D5968"/>
    <w:rsid w:val="008D5CDB"/>
    <w:rsid w:val="008D609D"/>
    <w:rsid w:val="008D6669"/>
    <w:rsid w:val="008D6E70"/>
    <w:rsid w:val="008D7673"/>
    <w:rsid w:val="008D77B7"/>
    <w:rsid w:val="008D7819"/>
    <w:rsid w:val="008E07D3"/>
    <w:rsid w:val="008E0E65"/>
    <w:rsid w:val="008E0EB8"/>
    <w:rsid w:val="008E1217"/>
    <w:rsid w:val="008E1D3D"/>
    <w:rsid w:val="008E1E21"/>
    <w:rsid w:val="008E21A0"/>
    <w:rsid w:val="008E235B"/>
    <w:rsid w:val="008E272E"/>
    <w:rsid w:val="008E32E6"/>
    <w:rsid w:val="008E3461"/>
    <w:rsid w:val="008E36E8"/>
    <w:rsid w:val="008E3A6A"/>
    <w:rsid w:val="008E425F"/>
    <w:rsid w:val="008E442D"/>
    <w:rsid w:val="008E4E5D"/>
    <w:rsid w:val="008E5373"/>
    <w:rsid w:val="008E53F1"/>
    <w:rsid w:val="008E5A44"/>
    <w:rsid w:val="008E5C2D"/>
    <w:rsid w:val="008E66D1"/>
    <w:rsid w:val="008E6AAB"/>
    <w:rsid w:val="008E6E26"/>
    <w:rsid w:val="008E78AD"/>
    <w:rsid w:val="008F0050"/>
    <w:rsid w:val="008F02A4"/>
    <w:rsid w:val="008F0A14"/>
    <w:rsid w:val="008F0BEF"/>
    <w:rsid w:val="008F22DA"/>
    <w:rsid w:val="008F257E"/>
    <w:rsid w:val="008F2747"/>
    <w:rsid w:val="008F2773"/>
    <w:rsid w:val="008F2C94"/>
    <w:rsid w:val="008F2CEA"/>
    <w:rsid w:val="008F30CE"/>
    <w:rsid w:val="008F344E"/>
    <w:rsid w:val="008F47D8"/>
    <w:rsid w:val="008F47F0"/>
    <w:rsid w:val="008F4BD8"/>
    <w:rsid w:val="008F5204"/>
    <w:rsid w:val="008F52EF"/>
    <w:rsid w:val="008F5348"/>
    <w:rsid w:val="008F54B5"/>
    <w:rsid w:val="008F5547"/>
    <w:rsid w:val="008F6257"/>
    <w:rsid w:val="008F66C7"/>
    <w:rsid w:val="008F6E19"/>
    <w:rsid w:val="008F75D2"/>
    <w:rsid w:val="00900B82"/>
    <w:rsid w:val="00900C06"/>
    <w:rsid w:val="0090132A"/>
    <w:rsid w:val="00901440"/>
    <w:rsid w:val="00901585"/>
    <w:rsid w:val="009015F7"/>
    <w:rsid w:val="0090169A"/>
    <w:rsid w:val="00901780"/>
    <w:rsid w:val="009026B7"/>
    <w:rsid w:val="009028F4"/>
    <w:rsid w:val="009029C6"/>
    <w:rsid w:val="00902CE9"/>
    <w:rsid w:val="00903068"/>
    <w:rsid w:val="009034C6"/>
    <w:rsid w:val="00903708"/>
    <w:rsid w:val="0090382D"/>
    <w:rsid w:val="009039D5"/>
    <w:rsid w:val="00903A3B"/>
    <w:rsid w:val="00904016"/>
    <w:rsid w:val="009040B9"/>
    <w:rsid w:val="00904311"/>
    <w:rsid w:val="00904424"/>
    <w:rsid w:val="00904956"/>
    <w:rsid w:val="00904D10"/>
    <w:rsid w:val="00905C64"/>
    <w:rsid w:val="00906026"/>
    <w:rsid w:val="00906166"/>
    <w:rsid w:val="00906185"/>
    <w:rsid w:val="0090650A"/>
    <w:rsid w:val="00906DC9"/>
    <w:rsid w:val="00907032"/>
    <w:rsid w:val="00907481"/>
    <w:rsid w:val="009074DE"/>
    <w:rsid w:val="009076F9"/>
    <w:rsid w:val="0090795C"/>
    <w:rsid w:val="00910593"/>
    <w:rsid w:val="0091064E"/>
    <w:rsid w:val="00910781"/>
    <w:rsid w:val="00910A70"/>
    <w:rsid w:val="00911154"/>
    <w:rsid w:val="00911489"/>
    <w:rsid w:val="00911C95"/>
    <w:rsid w:val="00911E23"/>
    <w:rsid w:val="0091232C"/>
    <w:rsid w:val="00912424"/>
    <w:rsid w:val="00912602"/>
    <w:rsid w:val="00912B5C"/>
    <w:rsid w:val="00913222"/>
    <w:rsid w:val="009135E1"/>
    <w:rsid w:val="00913EA3"/>
    <w:rsid w:val="00914017"/>
    <w:rsid w:val="009150EE"/>
    <w:rsid w:val="009154A4"/>
    <w:rsid w:val="00915699"/>
    <w:rsid w:val="00915E22"/>
    <w:rsid w:val="00916468"/>
    <w:rsid w:val="0091646C"/>
    <w:rsid w:val="00916C48"/>
    <w:rsid w:val="00916E23"/>
    <w:rsid w:val="00917245"/>
    <w:rsid w:val="009175FB"/>
    <w:rsid w:val="00917671"/>
    <w:rsid w:val="00917E03"/>
    <w:rsid w:val="00920060"/>
    <w:rsid w:val="00920189"/>
    <w:rsid w:val="009203FA"/>
    <w:rsid w:val="0092049E"/>
    <w:rsid w:val="00920721"/>
    <w:rsid w:val="009208E4"/>
    <w:rsid w:val="00920CF2"/>
    <w:rsid w:val="00921033"/>
    <w:rsid w:val="009219B8"/>
    <w:rsid w:val="00922216"/>
    <w:rsid w:val="009227C3"/>
    <w:rsid w:val="00922986"/>
    <w:rsid w:val="00922ECD"/>
    <w:rsid w:val="0092345F"/>
    <w:rsid w:val="00923732"/>
    <w:rsid w:val="00923D0F"/>
    <w:rsid w:val="00924C51"/>
    <w:rsid w:val="009252A9"/>
    <w:rsid w:val="009254CC"/>
    <w:rsid w:val="00925C54"/>
    <w:rsid w:val="00926149"/>
    <w:rsid w:val="00926269"/>
    <w:rsid w:val="009265E1"/>
    <w:rsid w:val="0092695F"/>
    <w:rsid w:val="00926E31"/>
    <w:rsid w:val="0092732D"/>
    <w:rsid w:val="00927375"/>
    <w:rsid w:val="00927931"/>
    <w:rsid w:val="00927EE1"/>
    <w:rsid w:val="00927FA5"/>
    <w:rsid w:val="0093043E"/>
    <w:rsid w:val="009304AE"/>
    <w:rsid w:val="00930803"/>
    <w:rsid w:val="00930A87"/>
    <w:rsid w:val="009311F3"/>
    <w:rsid w:val="00931C08"/>
    <w:rsid w:val="00931E4E"/>
    <w:rsid w:val="00931E5C"/>
    <w:rsid w:val="00932228"/>
    <w:rsid w:val="009324E2"/>
    <w:rsid w:val="00932924"/>
    <w:rsid w:val="00932CD0"/>
    <w:rsid w:val="00932D2E"/>
    <w:rsid w:val="00933758"/>
    <w:rsid w:val="00933A05"/>
    <w:rsid w:val="00933B37"/>
    <w:rsid w:val="00934A6B"/>
    <w:rsid w:val="00934B3C"/>
    <w:rsid w:val="009356B8"/>
    <w:rsid w:val="00935716"/>
    <w:rsid w:val="00935ED2"/>
    <w:rsid w:val="00936964"/>
    <w:rsid w:val="00936B18"/>
    <w:rsid w:val="00936C8E"/>
    <w:rsid w:val="00937C88"/>
    <w:rsid w:val="00940975"/>
    <w:rsid w:val="00941537"/>
    <w:rsid w:val="00941B20"/>
    <w:rsid w:val="00942231"/>
    <w:rsid w:val="0094292F"/>
    <w:rsid w:val="00942D32"/>
    <w:rsid w:val="009431C1"/>
    <w:rsid w:val="009431CD"/>
    <w:rsid w:val="009431EB"/>
    <w:rsid w:val="009436AA"/>
    <w:rsid w:val="009437BC"/>
    <w:rsid w:val="00943CEF"/>
    <w:rsid w:val="009440EB"/>
    <w:rsid w:val="009441AE"/>
    <w:rsid w:val="0094444D"/>
    <w:rsid w:val="00944C45"/>
    <w:rsid w:val="00944EBA"/>
    <w:rsid w:val="00945245"/>
    <w:rsid w:val="009454EA"/>
    <w:rsid w:val="00945CD8"/>
    <w:rsid w:val="0094633D"/>
    <w:rsid w:val="00946B7C"/>
    <w:rsid w:val="0094744B"/>
    <w:rsid w:val="00947605"/>
    <w:rsid w:val="00947C93"/>
    <w:rsid w:val="0095063F"/>
    <w:rsid w:val="0095077C"/>
    <w:rsid w:val="00950BD5"/>
    <w:rsid w:val="00951708"/>
    <w:rsid w:val="00951BE2"/>
    <w:rsid w:val="00951D56"/>
    <w:rsid w:val="00952C81"/>
    <w:rsid w:val="009530C2"/>
    <w:rsid w:val="009530D7"/>
    <w:rsid w:val="0095319E"/>
    <w:rsid w:val="009533CF"/>
    <w:rsid w:val="00953924"/>
    <w:rsid w:val="00953B31"/>
    <w:rsid w:val="00953B94"/>
    <w:rsid w:val="009541A2"/>
    <w:rsid w:val="00954BB0"/>
    <w:rsid w:val="00954D0C"/>
    <w:rsid w:val="00954D41"/>
    <w:rsid w:val="00954D90"/>
    <w:rsid w:val="00954F34"/>
    <w:rsid w:val="0095560C"/>
    <w:rsid w:val="00955A79"/>
    <w:rsid w:val="00955AC9"/>
    <w:rsid w:val="009563F9"/>
    <w:rsid w:val="009568A9"/>
    <w:rsid w:val="009568F9"/>
    <w:rsid w:val="00956B62"/>
    <w:rsid w:val="00956D24"/>
    <w:rsid w:val="009570EC"/>
    <w:rsid w:val="0095748C"/>
    <w:rsid w:val="009574B1"/>
    <w:rsid w:val="00957DC7"/>
    <w:rsid w:val="00957FE5"/>
    <w:rsid w:val="009609F5"/>
    <w:rsid w:val="00960C13"/>
    <w:rsid w:val="00961047"/>
    <w:rsid w:val="0096117F"/>
    <w:rsid w:val="00961657"/>
    <w:rsid w:val="00961BC3"/>
    <w:rsid w:val="00961BF4"/>
    <w:rsid w:val="00961E8F"/>
    <w:rsid w:val="00962172"/>
    <w:rsid w:val="00962690"/>
    <w:rsid w:val="00962B0F"/>
    <w:rsid w:val="00962D0B"/>
    <w:rsid w:val="00962EF0"/>
    <w:rsid w:val="00962FE1"/>
    <w:rsid w:val="009634B2"/>
    <w:rsid w:val="00963968"/>
    <w:rsid w:val="0096402E"/>
    <w:rsid w:val="0096418B"/>
    <w:rsid w:val="0096456B"/>
    <w:rsid w:val="009649F2"/>
    <w:rsid w:val="00964A42"/>
    <w:rsid w:val="00965294"/>
    <w:rsid w:val="009652A1"/>
    <w:rsid w:val="0096536D"/>
    <w:rsid w:val="0096545B"/>
    <w:rsid w:val="009654D6"/>
    <w:rsid w:val="00965680"/>
    <w:rsid w:val="00965B58"/>
    <w:rsid w:val="009660F1"/>
    <w:rsid w:val="00966414"/>
    <w:rsid w:val="009665A7"/>
    <w:rsid w:val="009665E1"/>
    <w:rsid w:val="009669DB"/>
    <w:rsid w:val="00970A59"/>
    <w:rsid w:val="00971022"/>
    <w:rsid w:val="009715A4"/>
    <w:rsid w:val="009716E3"/>
    <w:rsid w:val="009717EC"/>
    <w:rsid w:val="00971996"/>
    <w:rsid w:val="00971AD3"/>
    <w:rsid w:val="00971E20"/>
    <w:rsid w:val="00971F62"/>
    <w:rsid w:val="00971FE0"/>
    <w:rsid w:val="00971FEC"/>
    <w:rsid w:val="0097219F"/>
    <w:rsid w:val="0097242E"/>
    <w:rsid w:val="009738AB"/>
    <w:rsid w:val="00973C9F"/>
    <w:rsid w:val="00973F9E"/>
    <w:rsid w:val="00974093"/>
    <w:rsid w:val="00974343"/>
    <w:rsid w:val="009744CC"/>
    <w:rsid w:val="00974B37"/>
    <w:rsid w:val="00974C8A"/>
    <w:rsid w:val="0097510A"/>
    <w:rsid w:val="0097532E"/>
    <w:rsid w:val="00975783"/>
    <w:rsid w:val="00975B6E"/>
    <w:rsid w:val="00975FBC"/>
    <w:rsid w:val="0097629F"/>
    <w:rsid w:val="009762FD"/>
    <w:rsid w:val="00976714"/>
    <w:rsid w:val="009769F9"/>
    <w:rsid w:val="00976AB9"/>
    <w:rsid w:val="009771B1"/>
    <w:rsid w:val="009771FA"/>
    <w:rsid w:val="0097732F"/>
    <w:rsid w:val="00977B25"/>
    <w:rsid w:val="00977B43"/>
    <w:rsid w:val="00980007"/>
    <w:rsid w:val="00980064"/>
    <w:rsid w:val="00980378"/>
    <w:rsid w:val="00980429"/>
    <w:rsid w:val="0098067A"/>
    <w:rsid w:val="009811BC"/>
    <w:rsid w:val="0098136C"/>
    <w:rsid w:val="00981433"/>
    <w:rsid w:val="0098156B"/>
    <w:rsid w:val="00981CF3"/>
    <w:rsid w:val="00981FDA"/>
    <w:rsid w:val="00982CD8"/>
    <w:rsid w:val="0098312A"/>
    <w:rsid w:val="00983261"/>
    <w:rsid w:val="00983552"/>
    <w:rsid w:val="00983820"/>
    <w:rsid w:val="00983B50"/>
    <w:rsid w:val="009842DC"/>
    <w:rsid w:val="00984977"/>
    <w:rsid w:val="00984D2F"/>
    <w:rsid w:val="00984E7F"/>
    <w:rsid w:val="0098521B"/>
    <w:rsid w:val="0098547B"/>
    <w:rsid w:val="00985AE7"/>
    <w:rsid w:val="00986178"/>
    <w:rsid w:val="00986378"/>
    <w:rsid w:val="009863D7"/>
    <w:rsid w:val="00986B40"/>
    <w:rsid w:val="00986E6D"/>
    <w:rsid w:val="009879B6"/>
    <w:rsid w:val="009905F6"/>
    <w:rsid w:val="009909A3"/>
    <w:rsid w:val="00990EB0"/>
    <w:rsid w:val="00991195"/>
    <w:rsid w:val="00991310"/>
    <w:rsid w:val="0099172D"/>
    <w:rsid w:val="0099183B"/>
    <w:rsid w:val="0099216E"/>
    <w:rsid w:val="00992D34"/>
    <w:rsid w:val="00994292"/>
    <w:rsid w:val="009942BA"/>
    <w:rsid w:val="00994464"/>
    <w:rsid w:val="009945FC"/>
    <w:rsid w:val="0099492E"/>
    <w:rsid w:val="00994951"/>
    <w:rsid w:val="00994AFE"/>
    <w:rsid w:val="00994D38"/>
    <w:rsid w:val="009959B1"/>
    <w:rsid w:val="0099648E"/>
    <w:rsid w:val="009970A9"/>
    <w:rsid w:val="00997539"/>
    <w:rsid w:val="009977E4"/>
    <w:rsid w:val="00997F9C"/>
    <w:rsid w:val="009A0080"/>
    <w:rsid w:val="009A0651"/>
    <w:rsid w:val="009A0BF1"/>
    <w:rsid w:val="009A0DFB"/>
    <w:rsid w:val="009A0E3D"/>
    <w:rsid w:val="009A0E5B"/>
    <w:rsid w:val="009A0E8B"/>
    <w:rsid w:val="009A12FA"/>
    <w:rsid w:val="009A1662"/>
    <w:rsid w:val="009A1A9A"/>
    <w:rsid w:val="009A1B82"/>
    <w:rsid w:val="009A20F2"/>
    <w:rsid w:val="009A2235"/>
    <w:rsid w:val="009A2448"/>
    <w:rsid w:val="009A30CB"/>
    <w:rsid w:val="009A3307"/>
    <w:rsid w:val="009A3909"/>
    <w:rsid w:val="009A3B4C"/>
    <w:rsid w:val="009A408E"/>
    <w:rsid w:val="009A44E8"/>
    <w:rsid w:val="009A48F9"/>
    <w:rsid w:val="009A4925"/>
    <w:rsid w:val="009A4B27"/>
    <w:rsid w:val="009A4BA5"/>
    <w:rsid w:val="009A4CCF"/>
    <w:rsid w:val="009A4DAA"/>
    <w:rsid w:val="009A5310"/>
    <w:rsid w:val="009A5546"/>
    <w:rsid w:val="009A5AF0"/>
    <w:rsid w:val="009A6B88"/>
    <w:rsid w:val="009A6C21"/>
    <w:rsid w:val="009A6CE2"/>
    <w:rsid w:val="009B02A6"/>
    <w:rsid w:val="009B0788"/>
    <w:rsid w:val="009B0842"/>
    <w:rsid w:val="009B0ACD"/>
    <w:rsid w:val="009B125F"/>
    <w:rsid w:val="009B13A8"/>
    <w:rsid w:val="009B1447"/>
    <w:rsid w:val="009B145A"/>
    <w:rsid w:val="009B1563"/>
    <w:rsid w:val="009B1B40"/>
    <w:rsid w:val="009B2390"/>
    <w:rsid w:val="009B2517"/>
    <w:rsid w:val="009B260F"/>
    <w:rsid w:val="009B2A58"/>
    <w:rsid w:val="009B2D73"/>
    <w:rsid w:val="009B2DF5"/>
    <w:rsid w:val="009B339B"/>
    <w:rsid w:val="009B3526"/>
    <w:rsid w:val="009B35FF"/>
    <w:rsid w:val="009B3AB1"/>
    <w:rsid w:val="009B3D70"/>
    <w:rsid w:val="009B40C4"/>
    <w:rsid w:val="009B4715"/>
    <w:rsid w:val="009B4F90"/>
    <w:rsid w:val="009B500A"/>
    <w:rsid w:val="009B5672"/>
    <w:rsid w:val="009B5747"/>
    <w:rsid w:val="009B58B1"/>
    <w:rsid w:val="009B5C72"/>
    <w:rsid w:val="009B5F50"/>
    <w:rsid w:val="009B5FC3"/>
    <w:rsid w:val="009B61D0"/>
    <w:rsid w:val="009B6347"/>
    <w:rsid w:val="009B769E"/>
    <w:rsid w:val="009B7940"/>
    <w:rsid w:val="009B7B29"/>
    <w:rsid w:val="009B7EEE"/>
    <w:rsid w:val="009B7F19"/>
    <w:rsid w:val="009C003F"/>
    <w:rsid w:val="009C0B78"/>
    <w:rsid w:val="009C0E55"/>
    <w:rsid w:val="009C1427"/>
    <w:rsid w:val="009C1D6A"/>
    <w:rsid w:val="009C1FFB"/>
    <w:rsid w:val="009C2069"/>
    <w:rsid w:val="009C229F"/>
    <w:rsid w:val="009C2391"/>
    <w:rsid w:val="009C2AE8"/>
    <w:rsid w:val="009C2B3C"/>
    <w:rsid w:val="009C2DE5"/>
    <w:rsid w:val="009C2E67"/>
    <w:rsid w:val="009C3B6C"/>
    <w:rsid w:val="009C3C2A"/>
    <w:rsid w:val="009C3F7D"/>
    <w:rsid w:val="009C4234"/>
    <w:rsid w:val="009C436D"/>
    <w:rsid w:val="009C4F02"/>
    <w:rsid w:val="009C5E20"/>
    <w:rsid w:val="009C67E2"/>
    <w:rsid w:val="009C6E97"/>
    <w:rsid w:val="009C7187"/>
    <w:rsid w:val="009C7323"/>
    <w:rsid w:val="009C73F1"/>
    <w:rsid w:val="009C746E"/>
    <w:rsid w:val="009C78DD"/>
    <w:rsid w:val="009C7AD9"/>
    <w:rsid w:val="009C7C20"/>
    <w:rsid w:val="009C7D5A"/>
    <w:rsid w:val="009C7FCA"/>
    <w:rsid w:val="009D08C5"/>
    <w:rsid w:val="009D0C09"/>
    <w:rsid w:val="009D145F"/>
    <w:rsid w:val="009D14C6"/>
    <w:rsid w:val="009D1541"/>
    <w:rsid w:val="009D154C"/>
    <w:rsid w:val="009D2A43"/>
    <w:rsid w:val="009D3363"/>
    <w:rsid w:val="009D37F7"/>
    <w:rsid w:val="009D37FD"/>
    <w:rsid w:val="009D3DCB"/>
    <w:rsid w:val="009D3E6C"/>
    <w:rsid w:val="009D4086"/>
    <w:rsid w:val="009D4A46"/>
    <w:rsid w:val="009D4C32"/>
    <w:rsid w:val="009D4DAD"/>
    <w:rsid w:val="009D5156"/>
    <w:rsid w:val="009D5923"/>
    <w:rsid w:val="009D5C74"/>
    <w:rsid w:val="009D5DC4"/>
    <w:rsid w:val="009D654B"/>
    <w:rsid w:val="009D792D"/>
    <w:rsid w:val="009D7C1D"/>
    <w:rsid w:val="009E00F8"/>
    <w:rsid w:val="009E01D3"/>
    <w:rsid w:val="009E0448"/>
    <w:rsid w:val="009E049C"/>
    <w:rsid w:val="009E0625"/>
    <w:rsid w:val="009E0F0F"/>
    <w:rsid w:val="009E1503"/>
    <w:rsid w:val="009E1C29"/>
    <w:rsid w:val="009E209B"/>
    <w:rsid w:val="009E20F9"/>
    <w:rsid w:val="009E2448"/>
    <w:rsid w:val="009E28E6"/>
    <w:rsid w:val="009E291F"/>
    <w:rsid w:val="009E2D4C"/>
    <w:rsid w:val="009E3486"/>
    <w:rsid w:val="009E36A2"/>
    <w:rsid w:val="009E3C9F"/>
    <w:rsid w:val="009E3D6A"/>
    <w:rsid w:val="009E3D7E"/>
    <w:rsid w:val="009E3F1A"/>
    <w:rsid w:val="009E48AF"/>
    <w:rsid w:val="009E5558"/>
    <w:rsid w:val="009E5584"/>
    <w:rsid w:val="009E5638"/>
    <w:rsid w:val="009E57C0"/>
    <w:rsid w:val="009E5967"/>
    <w:rsid w:val="009E5C44"/>
    <w:rsid w:val="009E694F"/>
    <w:rsid w:val="009E6DC6"/>
    <w:rsid w:val="009E71B0"/>
    <w:rsid w:val="009F00D0"/>
    <w:rsid w:val="009F0136"/>
    <w:rsid w:val="009F0237"/>
    <w:rsid w:val="009F0915"/>
    <w:rsid w:val="009F1AE3"/>
    <w:rsid w:val="009F2182"/>
    <w:rsid w:val="009F2635"/>
    <w:rsid w:val="009F2D4B"/>
    <w:rsid w:val="009F39EE"/>
    <w:rsid w:val="009F4B22"/>
    <w:rsid w:val="009F53F8"/>
    <w:rsid w:val="009F560F"/>
    <w:rsid w:val="009F5BB9"/>
    <w:rsid w:val="009F5FAC"/>
    <w:rsid w:val="009F6112"/>
    <w:rsid w:val="009F6DA1"/>
    <w:rsid w:val="009F7402"/>
    <w:rsid w:val="009F78C4"/>
    <w:rsid w:val="009F792C"/>
    <w:rsid w:val="009F7A8D"/>
    <w:rsid w:val="009F7D64"/>
    <w:rsid w:val="009F7F0D"/>
    <w:rsid w:val="00A0073F"/>
    <w:rsid w:val="00A00AC7"/>
    <w:rsid w:val="00A00B55"/>
    <w:rsid w:val="00A013F1"/>
    <w:rsid w:val="00A016D6"/>
    <w:rsid w:val="00A01856"/>
    <w:rsid w:val="00A0196D"/>
    <w:rsid w:val="00A01E8F"/>
    <w:rsid w:val="00A0223B"/>
    <w:rsid w:val="00A02AF6"/>
    <w:rsid w:val="00A03365"/>
    <w:rsid w:val="00A0382A"/>
    <w:rsid w:val="00A0383F"/>
    <w:rsid w:val="00A03BB7"/>
    <w:rsid w:val="00A03F8F"/>
    <w:rsid w:val="00A049EB"/>
    <w:rsid w:val="00A04AF3"/>
    <w:rsid w:val="00A05414"/>
    <w:rsid w:val="00A05B95"/>
    <w:rsid w:val="00A05BB7"/>
    <w:rsid w:val="00A05D47"/>
    <w:rsid w:val="00A061FD"/>
    <w:rsid w:val="00A066E1"/>
    <w:rsid w:val="00A06EC0"/>
    <w:rsid w:val="00A073CA"/>
    <w:rsid w:val="00A0790E"/>
    <w:rsid w:val="00A07A77"/>
    <w:rsid w:val="00A07CE7"/>
    <w:rsid w:val="00A1004C"/>
    <w:rsid w:val="00A1075B"/>
    <w:rsid w:val="00A10BBA"/>
    <w:rsid w:val="00A10E2F"/>
    <w:rsid w:val="00A10EE8"/>
    <w:rsid w:val="00A111D7"/>
    <w:rsid w:val="00A116B3"/>
    <w:rsid w:val="00A11937"/>
    <w:rsid w:val="00A11D31"/>
    <w:rsid w:val="00A11E28"/>
    <w:rsid w:val="00A12A64"/>
    <w:rsid w:val="00A12FC1"/>
    <w:rsid w:val="00A13647"/>
    <w:rsid w:val="00A13A28"/>
    <w:rsid w:val="00A13E96"/>
    <w:rsid w:val="00A142D4"/>
    <w:rsid w:val="00A1477B"/>
    <w:rsid w:val="00A14ED1"/>
    <w:rsid w:val="00A1657F"/>
    <w:rsid w:val="00A1751D"/>
    <w:rsid w:val="00A17570"/>
    <w:rsid w:val="00A17C6B"/>
    <w:rsid w:val="00A202D1"/>
    <w:rsid w:val="00A2051D"/>
    <w:rsid w:val="00A207C1"/>
    <w:rsid w:val="00A20C45"/>
    <w:rsid w:val="00A211D8"/>
    <w:rsid w:val="00A22863"/>
    <w:rsid w:val="00A22E29"/>
    <w:rsid w:val="00A23133"/>
    <w:rsid w:val="00A231DB"/>
    <w:rsid w:val="00A23F09"/>
    <w:rsid w:val="00A2413D"/>
    <w:rsid w:val="00A24780"/>
    <w:rsid w:val="00A247CE"/>
    <w:rsid w:val="00A24DFA"/>
    <w:rsid w:val="00A252B7"/>
    <w:rsid w:val="00A253A8"/>
    <w:rsid w:val="00A2549D"/>
    <w:rsid w:val="00A25C7F"/>
    <w:rsid w:val="00A25CD6"/>
    <w:rsid w:val="00A25FCF"/>
    <w:rsid w:val="00A2618E"/>
    <w:rsid w:val="00A26210"/>
    <w:rsid w:val="00A26363"/>
    <w:rsid w:val="00A264EF"/>
    <w:rsid w:val="00A274DA"/>
    <w:rsid w:val="00A27650"/>
    <w:rsid w:val="00A278E7"/>
    <w:rsid w:val="00A27F46"/>
    <w:rsid w:val="00A27FCF"/>
    <w:rsid w:val="00A3052D"/>
    <w:rsid w:val="00A30F16"/>
    <w:rsid w:val="00A31650"/>
    <w:rsid w:val="00A31732"/>
    <w:rsid w:val="00A3193A"/>
    <w:rsid w:val="00A31A02"/>
    <w:rsid w:val="00A31C0E"/>
    <w:rsid w:val="00A32488"/>
    <w:rsid w:val="00A32726"/>
    <w:rsid w:val="00A32989"/>
    <w:rsid w:val="00A33FFE"/>
    <w:rsid w:val="00A3409C"/>
    <w:rsid w:val="00A3426C"/>
    <w:rsid w:val="00A346DC"/>
    <w:rsid w:val="00A348C8"/>
    <w:rsid w:val="00A35251"/>
    <w:rsid w:val="00A3547E"/>
    <w:rsid w:val="00A35809"/>
    <w:rsid w:val="00A36235"/>
    <w:rsid w:val="00A36330"/>
    <w:rsid w:val="00A3652B"/>
    <w:rsid w:val="00A36573"/>
    <w:rsid w:val="00A365C2"/>
    <w:rsid w:val="00A36727"/>
    <w:rsid w:val="00A36864"/>
    <w:rsid w:val="00A36B9F"/>
    <w:rsid w:val="00A371A3"/>
    <w:rsid w:val="00A374BA"/>
    <w:rsid w:val="00A376B9"/>
    <w:rsid w:val="00A37B14"/>
    <w:rsid w:val="00A37C69"/>
    <w:rsid w:val="00A40A2D"/>
    <w:rsid w:val="00A40F9C"/>
    <w:rsid w:val="00A4127F"/>
    <w:rsid w:val="00A4131C"/>
    <w:rsid w:val="00A415A6"/>
    <w:rsid w:val="00A4243C"/>
    <w:rsid w:val="00A4314C"/>
    <w:rsid w:val="00A43D96"/>
    <w:rsid w:val="00A445B7"/>
    <w:rsid w:val="00A4470C"/>
    <w:rsid w:val="00A449E6"/>
    <w:rsid w:val="00A44EE8"/>
    <w:rsid w:val="00A45AB5"/>
    <w:rsid w:val="00A45DE5"/>
    <w:rsid w:val="00A46168"/>
    <w:rsid w:val="00A4616B"/>
    <w:rsid w:val="00A4621C"/>
    <w:rsid w:val="00A467D4"/>
    <w:rsid w:val="00A467DF"/>
    <w:rsid w:val="00A46DD0"/>
    <w:rsid w:val="00A46ED8"/>
    <w:rsid w:val="00A475CF"/>
    <w:rsid w:val="00A476C4"/>
    <w:rsid w:val="00A47EBF"/>
    <w:rsid w:val="00A50471"/>
    <w:rsid w:val="00A50598"/>
    <w:rsid w:val="00A50B48"/>
    <w:rsid w:val="00A50E37"/>
    <w:rsid w:val="00A52084"/>
    <w:rsid w:val="00A525B9"/>
    <w:rsid w:val="00A5297E"/>
    <w:rsid w:val="00A52BC9"/>
    <w:rsid w:val="00A52E9D"/>
    <w:rsid w:val="00A5308D"/>
    <w:rsid w:val="00A533E1"/>
    <w:rsid w:val="00A53408"/>
    <w:rsid w:val="00A53BEF"/>
    <w:rsid w:val="00A53C3C"/>
    <w:rsid w:val="00A53E51"/>
    <w:rsid w:val="00A5428A"/>
    <w:rsid w:val="00A56C1D"/>
    <w:rsid w:val="00A56D03"/>
    <w:rsid w:val="00A56FBD"/>
    <w:rsid w:val="00A572F7"/>
    <w:rsid w:val="00A57AD7"/>
    <w:rsid w:val="00A603FA"/>
    <w:rsid w:val="00A606A4"/>
    <w:rsid w:val="00A60A4B"/>
    <w:rsid w:val="00A6131F"/>
    <w:rsid w:val="00A619E6"/>
    <w:rsid w:val="00A6289C"/>
    <w:rsid w:val="00A62CCC"/>
    <w:rsid w:val="00A630AB"/>
    <w:rsid w:val="00A63B5E"/>
    <w:rsid w:val="00A63DAF"/>
    <w:rsid w:val="00A63FB8"/>
    <w:rsid w:val="00A64026"/>
    <w:rsid w:val="00A64B5A"/>
    <w:rsid w:val="00A650E9"/>
    <w:rsid w:val="00A654C6"/>
    <w:rsid w:val="00A65729"/>
    <w:rsid w:val="00A65D40"/>
    <w:rsid w:val="00A65EC4"/>
    <w:rsid w:val="00A661E4"/>
    <w:rsid w:val="00A669E0"/>
    <w:rsid w:val="00A67747"/>
    <w:rsid w:val="00A6784F"/>
    <w:rsid w:val="00A67B3A"/>
    <w:rsid w:val="00A7000F"/>
    <w:rsid w:val="00A70222"/>
    <w:rsid w:val="00A70839"/>
    <w:rsid w:val="00A70852"/>
    <w:rsid w:val="00A70E02"/>
    <w:rsid w:val="00A7167A"/>
    <w:rsid w:val="00A716FC"/>
    <w:rsid w:val="00A717F8"/>
    <w:rsid w:val="00A71AAD"/>
    <w:rsid w:val="00A71D0F"/>
    <w:rsid w:val="00A720D5"/>
    <w:rsid w:val="00A7218A"/>
    <w:rsid w:val="00A7240B"/>
    <w:rsid w:val="00A72AAE"/>
    <w:rsid w:val="00A72ADE"/>
    <w:rsid w:val="00A72E38"/>
    <w:rsid w:val="00A72F92"/>
    <w:rsid w:val="00A736EC"/>
    <w:rsid w:val="00A73D73"/>
    <w:rsid w:val="00A74031"/>
    <w:rsid w:val="00A74658"/>
    <w:rsid w:val="00A746C1"/>
    <w:rsid w:val="00A74C66"/>
    <w:rsid w:val="00A7574E"/>
    <w:rsid w:val="00A75ADD"/>
    <w:rsid w:val="00A75FBC"/>
    <w:rsid w:val="00A760D8"/>
    <w:rsid w:val="00A76110"/>
    <w:rsid w:val="00A76423"/>
    <w:rsid w:val="00A7699C"/>
    <w:rsid w:val="00A769B1"/>
    <w:rsid w:val="00A77276"/>
    <w:rsid w:val="00A77299"/>
    <w:rsid w:val="00A775C4"/>
    <w:rsid w:val="00A80011"/>
    <w:rsid w:val="00A80D16"/>
    <w:rsid w:val="00A8189F"/>
    <w:rsid w:val="00A8199E"/>
    <w:rsid w:val="00A823DA"/>
    <w:rsid w:val="00A8256E"/>
    <w:rsid w:val="00A826CF"/>
    <w:rsid w:val="00A826D6"/>
    <w:rsid w:val="00A82E48"/>
    <w:rsid w:val="00A82F0B"/>
    <w:rsid w:val="00A83067"/>
    <w:rsid w:val="00A843B4"/>
    <w:rsid w:val="00A850D6"/>
    <w:rsid w:val="00A859E0"/>
    <w:rsid w:val="00A85AD1"/>
    <w:rsid w:val="00A85C60"/>
    <w:rsid w:val="00A85FA2"/>
    <w:rsid w:val="00A86621"/>
    <w:rsid w:val="00A866CC"/>
    <w:rsid w:val="00A87001"/>
    <w:rsid w:val="00A870A2"/>
    <w:rsid w:val="00A87218"/>
    <w:rsid w:val="00A876F2"/>
    <w:rsid w:val="00A87BC2"/>
    <w:rsid w:val="00A90B95"/>
    <w:rsid w:val="00A90DCF"/>
    <w:rsid w:val="00A90F9A"/>
    <w:rsid w:val="00A9129C"/>
    <w:rsid w:val="00A91933"/>
    <w:rsid w:val="00A91F53"/>
    <w:rsid w:val="00A91FB9"/>
    <w:rsid w:val="00A9242B"/>
    <w:rsid w:val="00A928A0"/>
    <w:rsid w:val="00A92A2A"/>
    <w:rsid w:val="00A934D6"/>
    <w:rsid w:val="00A9352D"/>
    <w:rsid w:val="00A93894"/>
    <w:rsid w:val="00A938C0"/>
    <w:rsid w:val="00A93F23"/>
    <w:rsid w:val="00A93F33"/>
    <w:rsid w:val="00A93F81"/>
    <w:rsid w:val="00A94739"/>
    <w:rsid w:val="00A94D2D"/>
    <w:rsid w:val="00A94DCB"/>
    <w:rsid w:val="00A94F85"/>
    <w:rsid w:val="00A953EF"/>
    <w:rsid w:val="00A956A0"/>
    <w:rsid w:val="00A9643F"/>
    <w:rsid w:val="00A969B2"/>
    <w:rsid w:val="00A96B7B"/>
    <w:rsid w:val="00A96C20"/>
    <w:rsid w:val="00A96C8D"/>
    <w:rsid w:val="00A96D9B"/>
    <w:rsid w:val="00A96F84"/>
    <w:rsid w:val="00A978AF"/>
    <w:rsid w:val="00A97B05"/>
    <w:rsid w:val="00A97B9C"/>
    <w:rsid w:val="00A97ED2"/>
    <w:rsid w:val="00AA0A07"/>
    <w:rsid w:val="00AA0A40"/>
    <w:rsid w:val="00AA0A67"/>
    <w:rsid w:val="00AA0E6C"/>
    <w:rsid w:val="00AA0F52"/>
    <w:rsid w:val="00AA149E"/>
    <w:rsid w:val="00AA1D48"/>
    <w:rsid w:val="00AA237C"/>
    <w:rsid w:val="00AA23FF"/>
    <w:rsid w:val="00AA2B5A"/>
    <w:rsid w:val="00AA2B67"/>
    <w:rsid w:val="00AA2DED"/>
    <w:rsid w:val="00AA2E4A"/>
    <w:rsid w:val="00AA2FF5"/>
    <w:rsid w:val="00AA33AC"/>
    <w:rsid w:val="00AA372C"/>
    <w:rsid w:val="00AA4337"/>
    <w:rsid w:val="00AA4685"/>
    <w:rsid w:val="00AA4E79"/>
    <w:rsid w:val="00AA51A6"/>
    <w:rsid w:val="00AA51C1"/>
    <w:rsid w:val="00AA550C"/>
    <w:rsid w:val="00AA5833"/>
    <w:rsid w:val="00AA62A0"/>
    <w:rsid w:val="00AA62C4"/>
    <w:rsid w:val="00AA65CB"/>
    <w:rsid w:val="00AA6AF4"/>
    <w:rsid w:val="00AA6B70"/>
    <w:rsid w:val="00AA6FB1"/>
    <w:rsid w:val="00AA727F"/>
    <w:rsid w:val="00AB05A9"/>
    <w:rsid w:val="00AB0B60"/>
    <w:rsid w:val="00AB0E5A"/>
    <w:rsid w:val="00AB103C"/>
    <w:rsid w:val="00AB1712"/>
    <w:rsid w:val="00AB17D6"/>
    <w:rsid w:val="00AB1BB5"/>
    <w:rsid w:val="00AB1E99"/>
    <w:rsid w:val="00AB2093"/>
    <w:rsid w:val="00AB2271"/>
    <w:rsid w:val="00AB284F"/>
    <w:rsid w:val="00AB28D1"/>
    <w:rsid w:val="00AB2CEA"/>
    <w:rsid w:val="00AB2E9C"/>
    <w:rsid w:val="00AB34CD"/>
    <w:rsid w:val="00AB400A"/>
    <w:rsid w:val="00AB4097"/>
    <w:rsid w:val="00AB58A3"/>
    <w:rsid w:val="00AB5996"/>
    <w:rsid w:val="00AB5A11"/>
    <w:rsid w:val="00AB5ADE"/>
    <w:rsid w:val="00AB5D8D"/>
    <w:rsid w:val="00AB5FE6"/>
    <w:rsid w:val="00AB6E3B"/>
    <w:rsid w:val="00AB7AF4"/>
    <w:rsid w:val="00AC0481"/>
    <w:rsid w:val="00AC0C45"/>
    <w:rsid w:val="00AC0E3D"/>
    <w:rsid w:val="00AC0EF9"/>
    <w:rsid w:val="00AC11DE"/>
    <w:rsid w:val="00AC14E1"/>
    <w:rsid w:val="00AC2842"/>
    <w:rsid w:val="00AC2B48"/>
    <w:rsid w:val="00AC2CC4"/>
    <w:rsid w:val="00AC362B"/>
    <w:rsid w:val="00AC3802"/>
    <w:rsid w:val="00AC4BDC"/>
    <w:rsid w:val="00AC535E"/>
    <w:rsid w:val="00AC557F"/>
    <w:rsid w:val="00AC5644"/>
    <w:rsid w:val="00AC5F7F"/>
    <w:rsid w:val="00AC6058"/>
    <w:rsid w:val="00AC6E9C"/>
    <w:rsid w:val="00AC6FE2"/>
    <w:rsid w:val="00AC7928"/>
    <w:rsid w:val="00AC7AE9"/>
    <w:rsid w:val="00AC7C91"/>
    <w:rsid w:val="00AD02B3"/>
    <w:rsid w:val="00AD0356"/>
    <w:rsid w:val="00AD0360"/>
    <w:rsid w:val="00AD05C3"/>
    <w:rsid w:val="00AD05CD"/>
    <w:rsid w:val="00AD0FD7"/>
    <w:rsid w:val="00AD155C"/>
    <w:rsid w:val="00AD18B3"/>
    <w:rsid w:val="00AD1904"/>
    <w:rsid w:val="00AD1ABF"/>
    <w:rsid w:val="00AD277E"/>
    <w:rsid w:val="00AD27B5"/>
    <w:rsid w:val="00AD2DD8"/>
    <w:rsid w:val="00AD3197"/>
    <w:rsid w:val="00AD3798"/>
    <w:rsid w:val="00AD3BAD"/>
    <w:rsid w:val="00AD3CF9"/>
    <w:rsid w:val="00AD426C"/>
    <w:rsid w:val="00AD45C1"/>
    <w:rsid w:val="00AD46AB"/>
    <w:rsid w:val="00AD48C9"/>
    <w:rsid w:val="00AD4CDA"/>
    <w:rsid w:val="00AD501C"/>
    <w:rsid w:val="00AD51C2"/>
    <w:rsid w:val="00AD51C6"/>
    <w:rsid w:val="00AD5EA6"/>
    <w:rsid w:val="00AD5EC4"/>
    <w:rsid w:val="00AD636E"/>
    <w:rsid w:val="00AD66E6"/>
    <w:rsid w:val="00AD6BA4"/>
    <w:rsid w:val="00AD760F"/>
    <w:rsid w:val="00AD7917"/>
    <w:rsid w:val="00AD7D13"/>
    <w:rsid w:val="00AD7FBF"/>
    <w:rsid w:val="00AD7FDC"/>
    <w:rsid w:val="00AE0418"/>
    <w:rsid w:val="00AE05C6"/>
    <w:rsid w:val="00AE0A34"/>
    <w:rsid w:val="00AE0A3B"/>
    <w:rsid w:val="00AE0C4D"/>
    <w:rsid w:val="00AE0F07"/>
    <w:rsid w:val="00AE0F99"/>
    <w:rsid w:val="00AE1760"/>
    <w:rsid w:val="00AE1FFF"/>
    <w:rsid w:val="00AE2DE5"/>
    <w:rsid w:val="00AE3D4F"/>
    <w:rsid w:val="00AE414F"/>
    <w:rsid w:val="00AE49E7"/>
    <w:rsid w:val="00AE4B38"/>
    <w:rsid w:val="00AE4E98"/>
    <w:rsid w:val="00AE4EF3"/>
    <w:rsid w:val="00AE4FD2"/>
    <w:rsid w:val="00AE55DB"/>
    <w:rsid w:val="00AE56C6"/>
    <w:rsid w:val="00AE57E5"/>
    <w:rsid w:val="00AE6030"/>
    <w:rsid w:val="00AE6786"/>
    <w:rsid w:val="00AE6CEA"/>
    <w:rsid w:val="00AE7467"/>
    <w:rsid w:val="00AE74FC"/>
    <w:rsid w:val="00AE776E"/>
    <w:rsid w:val="00AE7D3B"/>
    <w:rsid w:val="00AE7E05"/>
    <w:rsid w:val="00AF00EB"/>
    <w:rsid w:val="00AF0624"/>
    <w:rsid w:val="00AF12F0"/>
    <w:rsid w:val="00AF1C42"/>
    <w:rsid w:val="00AF2325"/>
    <w:rsid w:val="00AF234F"/>
    <w:rsid w:val="00AF289F"/>
    <w:rsid w:val="00AF309C"/>
    <w:rsid w:val="00AF3521"/>
    <w:rsid w:val="00AF35CF"/>
    <w:rsid w:val="00AF3F3E"/>
    <w:rsid w:val="00AF4D1C"/>
    <w:rsid w:val="00AF52ED"/>
    <w:rsid w:val="00AF5744"/>
    <w:rsid w:val="00AF5DFE"/>
    <w:rsid w:val="00AF61AC"/>
    <w:rsid w:val="00AF633A"/>
    <w:rsid w:val="00AF65CC"/>
    <w:rsid w:val="00AF665F"/>
    <w:rsid w:val="00AF6A7F"/>
    <w:rsid w:val="00AF6E18"/>
    <w:rsid w:val="00AF738F"/>
    <w:rsid w:val="00AF7671"/>
    <w:rsid w:val="00AF78EC"/>
    <w:rsid w:val="00AF7AD7"/>
    <w:rsid w:val="00AF7B59"/>
    <w:rsid w:val="00B00033"/>
    <w:rsid w:val="00B00870"/>
    <w:rsid w:val="00B0092D"/>
    <w:rsid w:val="00B014A8"/>
    <w:rsid w:val="00B016B0"/>
    <w:rsid w:val="00B01A71"/>
    <w:rsid w:val="00B01A7D"/>
    <w:rsid w:val="00B01D1A"/>
    <w:rsid w:val="00B01FC1"/>
    <w:rsid w:val="00B01FC7"/>
    <w:rsid w:val="00B02478"/>
    <w:rsid w:val="00B0263E"/>
    <w:rsid w:val="00B02793"/>
    <w:rsid w:val="00B02C00"/>
    <w:rsid w:val="00B0306D"/>
    <w:rsid w:val="00B03737"/>
    <w:rsid w:val="00B03E19"/>
    <w:rsid w:val="00B041FF"/>
    <w:rsid w:val="00B04373"/>
    <w:rsid w:val="00B048F2"/>
    <w:rsid w:val="00B04AD3"/>
    <w:rsid w:val="00B04C8A"/>
    <w:rsid w:val="00B04F4F"/>
    <w:rsid w:val="00B053A3"/>
    <w:rsid w:val="00B054BB"/>
    <w:rsid w:val="00B06212"/>
    <w:rsid w:val="00B064E3"/>
    <w:rsid w:val="00B06C10"/>
    <w:rsid w:val="00B07146"/>
    <w:rsid w:val="00B0759B"/>
    <w:rsid w:val="00B07FCF"/>
    <w:rsid w:val="00B109C9"/>
    <w:rsid w:val="00B10F07"/>
    <w:rsid w:val="00B11957"/>
    <w:rsid w:val="00B11A3A"/>
    <w:rsid w:val="00B12481"/>
    <w:rsid w:val="00B1286D"/>
    <w:rsid w:val="00B12F80"/>
    <w:rsid w:val="00B132AA"/>
    <w:rsid w:val="00B134B9"/>
    <w:rsid w:val="00B139A2"/>
    <w:rsid w:val="00B13E8C"/>
    <w:rsid w:val="00B14666"/>
    <w:rsid w:val="00B14A32"/>
    <w:rsid w:val="00B14DB6"/>
    <w:rsid w:val="00B15531"/>
    <w:rsid w:val="00B15599"/>
    <w:rsid w:val="00B16FAD"/>
    <w:rsid w:val="00B17472"/>
    <w:rsid w:val="00B17909"/>
    <w:rsid w:val="00B17F4C"/>
    <w:rsid w:val="00B2088B"/>
    <w:rsid w:val="00B209F5"/>
    <w:rsid w:val="00B20B09"/>
    <w:rsid w:val="00B20F30"/>
    <w:rsid w:val="00B21130"/>
    <w:rsid w:val="00B212AD"/>
    <w:rsid w:val="00B21C85"/>
    <w:rsid w:val="00B21CCA"/>
    <w:rsid w:val="00B21DCE"/>
    <w:rsid w:val="00B22877"/>
    <w:rsid w:val="00B2293F"/>
    <w:rsid w:val="00B22DE0"/>
    <w:rsid w:val="00B23296"/>
    <w:rsid w:val="00B239A6"/>
    <w:rsid w:val="00B23C6B"/>
    <w:rsid w:val="00B24614"/>
    <w:rsid w:val="00B24740"/>
    <w:rsid w:val="00B2498D"/>
    <w:rsid w:val="00B251C0"/>
    <w:rsid w:val="00B2562B"/>
    <w:rsid w:val="00B258B9"/>
    <w:rsid w:val="00B25A8F"/>
    <w:rsid w:val="00B2606E"/>
    <w:rsid w:val="00B26F09"/>
    <w:rsid w:val="00B272B9"/>
    <w:rsid w:val="00B276A4"/>
    <w:rsid w:val="00B2793C"/>
    <w:rsid w:val="00B2795F"/>
    <w:rsid w:val="00B27D2B"/>
    <w:rsid w:val="00B302E1"/>
    <w:rsid w:val="00B30592"/>
    <w:rsid w:val="00B30D22"/>
    <w:rsid w:val="00B3117D"/>
    <w:rsid w:val="00B31725"/>
    <w:rsid w:val="00B31B92"/>
    <w:rsid w:val="00B32570"/>
    <w:rsid w:val="00B32DBD"/>
    <w:rsid w:val="00B330B7"/>
    <w:rsid w:val="00B33424"/>
    <w:rsid w:val="00B33924"/>
    <w:rsid w:val="00B3396D"/>
    <w:rsid w:val="00B33BA0"/>
    <w:rsid w:val="00B33F3D"/>
    <w:rsid w:val="00B345E5"/>
    <w:rsid w:val="00B34974"/>
    <w:rsid w:val="00B34EC4"/>
    <w:rsid w:val="00B35263"/>
    <w:rsid w:val="00B353B7"/>
    <w:rsid w:val="00B353C5"/>
    <w:rsid w:val="00B3559B"/>
    <w:rsid w:val="00B356E6"/>
    <w:rsid w:val="00B35880"/>
    <w:rsid w:val="00B35D68"/>
    <w:rsid w:val="00B35D85"/>
    <w:rsid w:val="00B35F8F"/>
    <w:rsid w:val="00B35FFD"/>
    <w:rsid w:val="00B3686B"/>
    <w:rsid w:val="00B36B9E"/>
    <w:rsid w:val="00B37EBA"/>
    <w:rsid w:val="00B4021F"/>
    <w:rsid w:val="00B40644"/>
    <w:rsid w:val="00B40B42"/>
    <w:rsid w:val="00B40C30"/>
    <w:rsid w:val="00B40CA2"/>
    <w:rsid w:val="00B41141"/>
    <w:rsid w:val="00B41507"/>
    <w:rsid w:val="00B41DD6"/>
    <w:rsid w:val="00B423A2"/>
    <w:rsid w:val="00B4296E"/>
    <w:rsid w:val="00B4296F"/>
    <w:rsid w:val="00B42AC1"/>
    <w:rsid w:val="00B42E41"/>
    <w:rsid w:val="00B4302B"/>
    <w:rsid w:val="00B44254"/>
    <w:rsid w:val="00B44430"/>
    <w:rsid w:val="00B445F3"/>
    <w:rsid w:val="00B4469D"/>
    <w:rsid w:val="00B44A42"/>
    <w:rsid w:val="00B44DB2"/>
    <w:rsid w:val="00B44F5B"/>
    <w:rsid w:val="00B45212"/>
    <w:rsid w:val="00B4528C"/>
    <w:rsid w:val="00B459B0"/>
    <w:rsid w:val="00B45A42"/>
    <w:rsid w:val="00B45EC8"/>
    <w:rsid w:val="00B469D0"/>
    <w:rsid w:val="00B46C40"/>
    <w:rsid w:val="00B475E9"/>
    <w:rsid w:val="00B47A65"/>
    <w:rsid w:val="00B47B50"/>
    <w:rsid w:val="00B47E2F"/>
    <w:rsid w:val="00B50155"/>
    <w:rsid w:val="00B501D6"/>
    <w:rsid w:val="00B50B8F"/>
    <w:rsid w:val="00B50FC3"/>
    <w:rsid w:val="00B51EC9"/>
    <w:rsid w:val="00B52078"/>
    <w:rsid w:val="00B5237E"/>
    <w:rsid w:val="00B52C29"/>
    <w:rsid w:val="00B531E9"/>
    <w:rsid w:val="00B54084"/>
    <w:rsid w:val="00B549D7"/>
    <w:rsid w:val="00B54D1A"/>
    <w:rsid w:val="00B54F24"/>
    <w:rsid w:val="00B550AB"/>
    <w:rsid w:val="00B55598"/>
    <w:rsid w:val="00B5653E"/>
    <w:rsid w:val="00B56617"/>
    <w:rsid w:val="00B56703"/>
    <w:rsid w:val="00B56830"/>
    <w:rsid w:val="00B56BBC"/>
    <w:rsid w:val="00B5768D"/>
    <w:rsid w:val="00B57F6A"/>
    <w:rsid w:val="00B6004D"/>
    <w:rsid w:val="00B60DE9"/>
    <w:rsid w:val="00B60F25"/>
    <w:rsid w:val="00B6116D"/>
    <w:rsid w:val="00B6164C"/>
    <w:rsid w:val="00B61798"/>
    <w:rsid w:val="00B61835"/>
    <w:rsid w:val="00B6243B"/>
    <w:rsid w:val="00B624D2"/>
    <w:rsid w:val="00B62775"/>
    <w:rsid w:val="00B629EB"/>
    <w:rsid w:val="00B6387A"/>
    <w:rsid w:val="00B63C69"/>
    <w:rsid w:val="00B644A3"/>
    <w:rsid w:val="00B645AB"/>
    <w:rsid w:val="00B64D1C"/>
    <w:rsid w:val="00B6544D"/>
    <w:rsid w:val="00B655DF"/>
    <w:rsid w:val="00B656D6"/>
    <w:rsid w:val="00B65B04"/>
    <w:rsid w:val="00B65E0D"/>
    <w:rsid w:val="00B66EB3"/>
    <w:rsid w:val="00B71756"/>
    <w:rsid w:val="00B71B4B"/>
    <w:rsid w:val="00B71C69"/>
    <w:rsid w:val="00B71D91"/>
    <w:rsid w:val="00B71EE6"/>
    <w:rsid w:val="00B728CF"/>
    <w:rsid w:val="00B7295D"/>
    <w:rsid w:val="00B73B9D"/>
    <w:rsid w:val="00B73E6A"/>
    <w:rsid w:val="00B75890"/>
    <w:rsid w:val="00B75C25"/>
    <w:rsid w:val="00B760CD"/>
    <w:rsid w:val="00B760D8"/>
    <w:rsid w:val="00B76319"/>
    <w:rsid w:val="00B76806"/>
    <w:rsid w:val="00B76D5F"/>
    <w:rsid w:val="00B76EAD"/>
    <w:rsid w:val="00B777AB"/>
    <w:rsid w:val="00B77962"/>
    <w:rsid w:val="00B80D16"/>
    <w:rsid w:val="00B81543"/>
    <w:rsid w:val="00B81ADF"/>
    <w:rsid w:val="00B82B8A"/>
    <w:rsid w:val="00B83A5C"/>
    <w:rsid w:val="00B83B59"/>
    <w:rsid w:val="00B83C70"/>
    <w:rsid w:val="00B83EB9"/>
    <w:rsid w:val="00B84316"/>
    <w:rsid w:val="00B84CE9"/>
    <w:rsid w:val="00B85090"/>
    <w:rsid w:val="00B8547C"/>
    <w:rsid w:val="00B85C93"/>
    <w:rsid w:val="00B85EED"/>
    <w:rsid w:val="00B86081"/>
    <w:rsid w:val="00B8665D"/>
    <w:rsid w:val="00B86852"/>
    <w:rsid w:val="00B86A28"/>
    <w:rsid w:val="00B86ABB"/>
    <w:rsid w:val="00B86DAC"/>
    <w:rsid w:val="00B87541"/>
    <w:rsid w:val="00B876B8"/>
    <w:rsid w:val="00B87985"/>
    <w:rsid w:val="00B879D1"/>
    <w:rsid w:val="00B904C5"/>
    <w:rsid w:val="00B90743"/>
    <w:rsid w:val="00B9074C"/>
    <w:rsid w:val="00B90AFC"/>
    <w:rsid w:val="00B90B6B"/>
    <w:rsid w:val="00B91B16"/>
    <w:rsid w:val="00B924EA"/>
    <w:rsid w:val="00B9282D"/>
    <w:rsid w:val="00B92A7E"/>
    <w:rsid w:val="00B92F09"/>
    <w:rsid w:val="00B92F18"/>
    <w:rsid w:val="00B931F7"/>
    <w:rsid w:val="00B933F5"/>
    <w:rsid w:val="00B93436"/>
    <w:rsid w:val="00B93965"/>
    <w:rsid w:val="00B93F3A"/>
    <w:rsid w:val="00B94383"/>
    <w:rsid w:val="00B949B1"/>
    <w:rsid w:val="00B951D0"/>
    <w:rsid w:val="00B953D7"/>
    <w:rsid w:val="00B95428"/>
    <w:rsid w:val="00B958AB"/>
    <w:rsid w:val="00B958E3"/>
    <w:rsid w:val="00B95930"/>
    <w:rsid w:val="00B95EED"/>
    <w:rsid w:val="00B95F06"/>
    <w:rsid w:val="00B96397"/>
    <w:rsid w:val="00B96F92"/>
    <w:rsid w:val="00B96FF4"/>
    <w:rsid w:val="00B977AA"/>
    <w:rsid w:val="00B97F8B"/>
    <w:rsid w:val="00BA01D6"/>
    <w:rsid w:val="00BA04BA"/>
    <w:rsid w:val="00BA09B6"/>
    <w:rsid w:val="00BA11C1"/>
    <w:rsid w:val="00BA2678"/>
    <w:rsid w:val="00BA28D8"/>
    <w:rsid w:val="00BA2E52"/>
    <w:rsid w:val="00BA3061"/>
    <w:rsid w:val="00BA327E"/>
    <w:rsid w:val="00BA3C61"/>
    <w:rsid w:val="00BA3DE0"/>
    <w:rsid w:val="00BA4275"/>
    <w:rsid w:val="00BA446E"/>
    <w:rsid w:val="00BA4725"/>
    <w:rsid w:val="00BA4E19"/>
    <w:rsid w:val="00BA56A0"/>
    <w:rsid w:val="00BA5973"/>
    <w:rsid w:val="00BA5B71"/>
    <w:rsid w:val="00BA5CE7"/>
    <w:rsid w:val="00BA5CED"/>
    <w:rsid w:val="00BA5D8C"/>
    <w:rsid w:val="00BA5E3E"/>
    <w:rsid w:val="00BA5F07"/>
    <w:rsid w:val="00BA6600"/>
    <w:rsid w:val="00BA69BF"/>
    <w:rsid w:val="00BA6D5D"/>
    <w:rsid w:val="00BA6E66"/>
    <w:rsid w:val="00BA6E9E"/>
    <w:rsid w:val="00BB0139"/>
    <w:rsid w:val="00BB0AE5"/>
    <w:rsid w:val="00BB0BFC"/>
    <w:rsid w:val="00BB1504"/>
    <w:rsid w:val="00BB1E10"/>
    <w:rsid w:val="00BB20C3"/>
    <w:rsid w:val="00BB20E1"/>
    <w:rsid w:val="00BB2412"/>
    <w:rsid w:val="00BB2514"/>
    <w:rsid w:val="00BB28D8"/>
    <w:rsid w:val="00BB2A52"/>
    <w:rsid w:val="00BB2CCA"/>
    <w:rsid w:val="00BB2CF2"/>
    <w:rsid w:val="00BB3A99"/>
    <w:rsid w:val="00BB3E00"/>
    <w:rsid w:val="00BB40F3"/>
    <w:rsid w:val="00BB448E"/>
    <w:rsid w:val="00BB4A92"/>
    <w:rsid w:val="00BB4C4F"/>
    <w:rsid w:val="00BB4D0A"/>
    <w:rsid w:val="00BB4D33"/>
    <w:rsid w:val="00BB4F6A"/>
    <w:rsid w:val="00BB61EC"/>
    <w:rsid w:val="00BB61FE"/>
    <w:rsid w:val="00BB639F"/>
    <w:rsid w:val="00BB64BE"/>
    <w:rsid w:val="00BB6923"/>
    <w:rsid w:val="00BB6B3C"/>
    <w:rsid w:val="00BB6B4F"/>
    <w:rsid w:val="00BB6C22"/>
    <w:rsid w:val="00BB6DF3"/>
    <w:rsid w:val="00BB7241"/>
    <w:rsid w:val="00BB73AF"/>
    <w:rsid w:val="00BB741F"/>
    <w:rsid w:val="00BB75E2"/>
    <w:rsid w:val="00BB775C"/>
    <w:rsid w:val="00BB7B74"/>
    <w:rsid w:val="00BB7B96"/>
    <w:rsid w:val="00BC02EA"/>
    <w:rsid w:val="00BC12A2"/>
    <w:rsid w:val="00BC1D8A"/>
    <w:rsid w:val="00BC1F63"/>
    <w:rsid w:val="00BC33E5"/>
    <w:rsid w:val="00BC3E11"/>
    <w:rsid w:val="00BC41A9"/>
    <w:rsid w:val="00BC4CDF"/>
    <w:rsid w:val="00BC560A"/>
    <w:rsid w:val="00BC57C2"/>
    <w:rsid w:val="00BC5860"/>
    <w:rsid w:val="00BC59F2"/>
    <w:rsid w:val="00BC5C43"/>
    <w:rsid w:val="00BC69E9"/>
    <w:rsid w:val="00BC6B19"/>
    <w:rsid w:val="00BC6EC9"/>
    <w:rsid w:val="00BC715F"/>
    <w:rsid w:val="00BC7322"/>
    <w:rsid w:val="00BC7478"/>
    <w:rsid w:val="00BC7877"/>
    <w:rsid w:val="00BC79B2"/>
    <w:rsid w:val="00BC7E41"/>
    <w:rsid w:val="00BC7F45"/>
    <w:rsid w:val="00BD0366"/>
    <w:rsid w:val="00BD13F1"/>
    <w:rsid w:val="00BD1646"/>
    <w:rsid w:val="00BD1C9B"/>
    <w:rsid w:val="00BD1FE6"/>
    <w:rsid w:val="00BD201E"/>
    <w:rsid w:val="00BD27E7"/>
    <w:rsid w:val="00BD30DB"/>
    <w:rsid w:val="00BD3EF5"/>
    <w:rsid w:val="00BD3F89"/>
    <w:rsid w:val="00BD4527"/>
    <w:rsid w:val="00BD4856"/>
    <w:rsid w:val="00BD48E1"/>
    <w:rsid w:val="00BD4B31"/>
    <w:rsid w:val="00BD4C32"/>
    <w:rsid w:val="00BD4D4E"/>
    <w:rsid w:val="00BD4DE5"/>
    <w:rsid w:val="00BD4E06"/>
    <w:rsid w:val="00BD583A"/>
    <w:rsid w:val="00BD5FFC"/>
    <w:rsid w:val="00BD63AF"/>
    <w:rsid w:val="00BD6836"/>
    <w:rsid w:val="00BD696C"/>
    <w:rsid w:val="00BD6DE0"/>
    <w:rsid w:val="00BD75BC"/>
    <w:rsid w:val="00BD79A9"/>
    <w:rsid w:val="00BD7E1E"/>
    <w:rsid w:val="00BE08B1"/>
    <w:rsid w:val="00BE0FD1"/>
    <w:rsid w:val="00BE1718"/>
    <w:rsid w:val="00BE1FCD"/>
    <w:rsid w:val="00BE21FC"/>
    <w:rsid w:val="00BE2650"/>
    <w:rsid w:val="00BE2752"/>
    <w:rsid w:val="00BE2980"/>
    <w:rsid w:val="00BE31F3"/>
    <w:rsid w:val="00BE3683"/>
    <w:rsid w:val="00BE3C4B"/>
    <w:rsid w:val="00BE3F11"/>
    <w:rsid w:val="00BE4124"/>
    <w:rsid w:val="00BE46A2"/>
    <w:rsid w:val="00BE4957"/>
    <w:rsid w:val="00BE503B"/>
    <w:rsid w:val="00BE510A"/>
    <w:rsid w:val="00BE529A"/>
    <w:rsid w:val="00BE53BB"/>
    <w:rsid w:val="00BE5972"/>
    <w:rsid w:val="00BE5BC3"/>
    <w:rsid w:val="00BE6602"/>
    <w:rsid w:val="00BE7646"/>
    <w:rsid w:val="00BF0863"/>
    <w:rsid w:val="00BF0B59"/>
    <w:rsid w:val="00BF17E4"/>
    <w:rsid w:val="00BF1B14"/>
    <w:rsid w:val="00BF2363"/>
    <w:rsid w:val="00BF2762"/>
    <w:rsid w:val="00BF2D12"/>
    <w:rsid w:val="00BF2E97"/>
    <w:rsid w:val="00BF3116"/>
    <w:rsid w:val="00BF37EA"/>
    <w:rsid w:val="00BF3D11"/>
    <w:rsid w:val="00BF3E1A"/>
    <w:rsid w:val="00BF3FAA"/>
    <w:rsid w:val="00BF4506"/>
    <w:rsid w:val="00BF597D"/>
    <w:rsid w:val="00BF5A11"/>
    <w:rsid w:val="00BF5A54"/>
    <w:rsid w:val="00BF5FEB"/>
    <w:rsid w:val="00BF6126"/>
    <w:rsid w:val="00BF64A9"/>
    <w:rsid w:val="00BF66E3"/>
    <w:rsid w:val="00BF6758"/>
    <w:rsid w:val="00BF6C3A"/>
    <w:rsid w:val="00BF6D67"/>
    <w:rsid w:val="00BF6E77"/>
    <w:rsid w:val="00BF6F6E"/>
    <w:rsid w:val="00BF75F1"/>
    <w:rsid w:val="00BF78AF"/>
    <w:rsid w:val="00C0059A"/>
    <w:rsid w:val="00C00797"/>
    <w:rsid w:val="00C00842"/>
    <w:rsid w:val="00C00C81"/>
    <w:rsid w:val="00C00EF6"/>
    <w:rsid w:val="00C0151C"/>
    <w:rsid w:val="00C01704"/>
    <w:rsid w:val="00C017FE"/>
    <w:rsid w:val="00C01ACA"/>
    <w:rsid w:val="00C02353"/>
    <w:rsid w:val="00C02990"/>
    <w:rsid w:val="00C02A0C"/>
    <w:rsid w:val="00C032C9"/>
    <w:rsid w:val="00C03A26"/>
    <w:rsid w:val="00C03A52"/>
    <w:rsid w:val="00C0411F"/>
    <w:rsid w:val="00C046CC"/>
    <w:rsid w:val="00C0530C"/>
    <w:rsid w:val="00C0549D"/>
    <w:rsid w:val="00C058FC"/>
    <w:rsid w:val="00C05BF1"/>
    <w:rsid w:val="00C06697"/>
    <w:rsid w:val="00C06E38"/>
    <w:rsid w:val="00C06EE1"/>
    <w:rsid w:val="00C07480"/>
    <w:rsid w:val="00C075B4"/>
    <w:rsid w:val="00C07976"/>
    <w:rsid w:val="00C079EE"/>
    <w:rsid w:val="00C07D89"/>
    <w:rsid w:val="00C10FD3"/>
    <w:rsid w:val="00C10FF2"/>
    <w:rsid w:val="00C1253B"/>
    <w:rsid w:val="00C1266E"/>
    <w:rsid w:val="00C128AD"/>
    <w:rsid w:val="00C12A4D"/>
    <w:rsid w:val="00C12B63"/>
    <w:rsid w:val="00C132F0"/>
    <w:rsid w:val="00C133D7"/>
    <w:rsid w:val="00C1353A"/>
    <w:rsid w:val="00C1390E"/>
    <w:rsid w:val="00C13A51"/>
    <w:rsid w:val="00C13CB0"/>
    <w:rsid w:val="00C13F9D"/>
    <w:rsid w:val="00C140E7"/>
    <w:rsid w:val="00C1448D"/>
    <w:rsid w:val="00C144F8"/>
    <w:rsid w:val="00C1488D"/>
    <w:rsid w:val="00C14ED6"/>
    <w:rsid w:val="00C153C3"/>
    <w:rsid w:val="00C15A3D"/>
    <w:rsid w:val="00C15CDB"/>
    <w:rsid w:val="00C15D3F"/>
    <w:rsid w:val="00C16451"/>
    <w:rsid w:val="00C16478"/>
    <w:rsid w:val="00C165C6"/>
    <w:rsid w:val="00C165DE"/>
    <w:rsid w:val="00C16C38"/>
    <w:rsid w:val="00C16FDB"/>
    <w:rsid w:val="00C1709E"/>
    <w:rsid w:val="00C171BF"/>
    <w:rsid w:val="00C17660"/>
    <w:rsid w:val="00C17AC8"/>
    <w:rsid w:val="00C17ADB"/>
    <w:rsid w:val="00C17F06"/>
    <w:rsid w:val="00C2055D"/>
    <w:rsid w:val="00C20C47"/>
    <w:rsid w:val="00C20EC6"/>
    <w:rsid w:val="00C21181"/>
    <w:rsid w:val="00C21C08"/>
    <w:rsid w:val="00C22630"/>
    <w:rsid w:val="00C227FB"/>
    <w:rsid w:val="00C229D4"/>
    <w:rsid w:val="00C22A4A"/>
    <w:rsid w:val="00C22B40"/>
    <w:rsid w:val="00C234E1"/>
    <w:rsid w:val="00C23768"/>
    <w:rsid w:val="00C237BB"/>
    <w:rsid w:val="00C23E9F"/>
    <w:rsid w:val="00C2419B"/>
    <w:rsid w:val="00C2448E"/>
    <w:rsid w:val="00C247C6"/>
    <w:rsid w:val="00C24D4F"/>
    <w:rsid w:val="00C24D9C"/>
    <w:rsid w:val="00C251E1"/>
    <w:rsid w:val="00C25B1B"/>
    <w:rsid w:val="00C261E4"/>
    <w:rsid w:val="00C26770"/>
    <w:rsid w:val="00C27D77"/>
    <w:rsid w:val="00C3096B"/>
    <w:rsid w:val="00C30E0A"/>
    <w:rsid w:val="00C314E2"/>
    <w:rsid w:val="00C318EF"/>
    <w:rsid w:val="00C31C15"/>
    <w:rsid w:val="00C31E00"/>
    <w:rsid w:val="00C322A7"/>
    <w:rsid w:val="00C32E1B"/>
    <w:rsid w:val="00C332CB"/>
    <w:rsid w:val="00C33558"/>
    <w:rsid w:val="00C3377C"/>
    <w:rsid w:val="00C3381E"/>
    <w:rsid w:val="00C33D48"/>
    <w:rsid w:val="00C33E9B"/>
    <w:rsid w:val="00C3414A"/>
    <w:rsid w:val="00C34E8F"/>
    <w:rsid w:val="00C35342"/>
    <w:rsid w:val="00C353CE"/>
    <w:rsid w:val="00C35450"/>
    <w:rsid w:val="00C35609"/>
    <w:rsid w:val="00C35ABD"/>
    <w:rsid w:val="00C35C7D"/>
    <w:rsid w:val="00C35E5E"/>
    <w:rsid w:val="00C3653A"/>
    <w:rsid w:val="00C368C2"/>
    <w:rsid w:val="00C36BF4"/>
    <w:rsid w:val="00C372FB"/>
    <w:rsid w:val="00C37835"/>
    <w:rsid w:val="00C37A62"/>
    <w:rsid w:val="00C411E3"/>
    <w:rsid w:val="00C41F3D"/>
    <w:rsid w:val="00C42A67"/>
    <w:rsid w:val="00C42ABF"/>
    <w:rsid w:val="00C42C74"/>
    <w:rsid w:val="00C42CBE"/>
    <w:rsid w:val="00C42DB9"/>
    <w:rsid w:val="00C43571"/>
    <w:rsid w:val="00C437EF"/>
    <w:rsid w:val="00C437F4"/>
    <w:rsid w:val="00C44303"/>
    <w:rsid w:val="00C44664"/>
    <w:rsid w:val="00C448C2"/>
    <w:rsid w:val="00C44E52"/>
    <w:rsid w:val="00C451C7"/>
    <w:rsid w:val="00C45299"/>
    <w:rsid w:val="00C45327"/>
    <w:rsid w:val="00C45619"/>
    <w:rsid w:val="00C4594C"/>
    <w:rsid w:val="00C459DA"/>
    <w:rsid w:val="00C45A50"/>
    <w:rsid w:val="00C46C94"/>
    <w:rsid w:val="00C46E62"/>
    <w:rsid w:val="00C46E78"/>
    <w:rsid w:val="00C46F12"/>
    <w:rsid w:val="00C477A1"/>
    <w:rsid w:val="00C50D54"/>
    <w:rsid w:val="00C512AE"/>
    <w:rsid w:val="00C51773"/>
    <w:rsid w:val="00C519AC"/>
    <w:rsid w:val="00C51C08"/>
    <w:rsid w:val="00C51DC9"/>
    <w:rsid w:val="00C51DE7"/>
    <w:rsid w:val="00C51E80"/>
    <w:rsid w:val="00C52376"/>
    <w:rsid w:val="00C52A1D"/>
    <w:rsid w:val="00C52C33"/>
    <w:rsid w:val="00C52D71"/>
    <w:rsid w:val="00C52D96"/>
    <w:rsid w:val="00C53255"/>
    <w:rsid w:val="00C537A1"/>
    <w:rsid w:val="00C537FA"/>
    <w:rsid w:val="00C53811"/>
    <w:rsid w:val="00C53AC2"/>
    <w:rsid w:val="00C53BAB"/>
    <w:rsid w:val="00C5402E"/>
    <w:rsid w:val="00C54665"/>
    <w:rsid w:val="00C54AAB"/>
    <w:rsid w:val="00C5547E"/>
    <w:rsid w:val="00C555FB"/>
    <w:rsid w:val="00C55E75"/>
    <w:rsid w:val="00C55F2B"/>
    <w:rsid w:val="00C56423"/>
    <w:rsid w:val="00C565C4"/>
    <w:rsid w:val="00C566AB"/>
    <w:rsid w:val="00C56EDD"/>
    <w:rsid w:val="00C571C3"/>
    <w:rsid w:val="00C57266"/>
    <w:rsid w:val="00C574E6"/>
    <w:rsid w:val="00C57538"/>
    <w:rsid w:val="00C57AFC"/>
    <w:rsid w:val="00C57DFD"/>
    <w:rsid w:val="00C60070"/>
    <w:rsid w:val="00C600CB"/>
    <w:rsid w:val="00C60338"/>
    <w:rsid w:val="00C607F6"/>
    <w:rsid w:val="00C615BE"/>
    <w:rsid w:val="00C615C3"/>
    <w:rsid w:val="00C6163D"/>
    <w:rsid w:val="00C61ABE"/>
    <w:rsid w:val="00C61F0F"/>
    <w:rsid w:val="00C62249"/>
    <w:rsid w:val="00C62DD2"/>
    <w:rsid w:val="00C62E14"/>
    <w:rsid w:val="00C63237"/>
    <w:rsid w:val="00C63AA4"/>
    <w:rsid w:val="00C63B94"/>
    <w:rsid w:val="00C645B3"/>
    <w:rsid w:val="00C648C3"/>
    <w:rsid w:val="00C64A68"/>
    <w:rsid w:val="00C64AF3"/>
    <w:rsid w:val="00C64C5F"/>
    <w:rsid w:val="00C64D1B"/>
    <w:rsid w:val="00C6512C"/>
    <w:rsid w:val="00C65478"/>
    <w:rsid w:val="00C65E85"/>
    <w:rsid w:val="00C6670C"/>
    <w:rsid w:val="00C66959"/>
    <w:rsid w:val="00C66C8F"/>
    <w:rsid w:val="00C66E22"/>
    <w:rsid w:val="00C66F5E"/>
    <w:rsid w:val="00C67172"/>
    <w:rsid w:val="00C67289"/>
    <w:rsid w:val="00C67458"/>
    <w:rsid w:val="00C6767A"/>
    <w:rsid w:val="00C677C9"/>
    <w:rsid w:val="00C70581"/>
    <w:rsid w:val="00C7077E"/>
    <w:rsid w:val="00C71057"/>
    <w:rsid w:val="00C7145A"/>
    <w:rsid w:val="00C714BE"/>
    <w:rsid w:val="00C714CF"/>
    <w:rsid w:val="00C7158B"/>
    <w:rsid w:val="00C71636"/>
    <w:rsid w:val="00C71AC6"/>
    <w:rsid w:val="00C71E02"/>
    <w:rsid w:val="00C71E4A"/>
    <w:rsid w:val="00C72156"/>
    <w:rsid w:val="00C72D37"/>
    <w:rsid w:val="00C72FD1"/>
    <w:rsid w:val="00C73079"/>
    <w:rsid w:val="00C73D32"/>
    <w:rsid w:val="00C74237"/>
    <w:rsid w:val="00C7435D"/>
    <w:rsid w:val="00C74978"/>
    <w:rsid w:val="00C75064"/>
    <w:rsid w:val="00C75084"/>
    <w:rsid w:val="00C75527"/>
    <w:rsid w:val="00C77428"/>
    <w:rsid w:val="00C77913"/>
    <w:rsid w:val="00C779D8"/>
    <w:rsid w:val="00C77C8A"/>
    <w:rsid w:val="00C80361"/>
    <w:rsid w:val="00C80741"/>
    <w:rsid w:val="00C80CDA"/>
    <w:rsid w:val="00C81073"/>
    <w:rsid w:val="00C81330"/>
    <w:rsid w:val="00C8142D"/>
    <w:rsid w:val="00C81791"/>
    <w:rsid w:val="00C81A52"/>
    <w:rsid w:val="00C81CC6"/>
    <w:rsid w:val="00C81E06"/>
    <w:rsid w:val="00C82612"/>
    <w:rsid w:val="00C826DF"/>
    <w:rsid w:val="00C8309E"/>
    <w:rsid w:val="00C83356"/>
    <w:rsid w:val="00C835B6"/>
    <w:rsid w:val="00C8366A"/>
    <w:rsid w:val="00C83A3F"/>
    <w:rsid w:val="00C83E42"/>
    <w:rsid w:val="00C840BD"/>
    <w:rsid w:val="00C841EB"/>
    <w:rsid w:val="00C842D0"/>
    <w:rsid w:val="00C84738"/>
    <w:rsid w:val="00C84F85"/>
    <w:rsid w:val="00C84FB9"/>
    <w:rsid w:val="00C855AF"/>
    <w:rsid w:val="00C859B0"/>
    <w:rsid w:val="00C85E5C"/>
    <w:rsid w:val="00C85F61"/>
    <w:rsid w:val="00C86A9B"/>
    <w:rsid w:val="00C86D16"/>
    <w:rsid w:val="00C86D64"/>
    <w:rsid w:val="00C86E1D"/>
    <w:rsid w:val="00C86F5F"/>
    <w:rsid w:val="00C87037"/>
    <w:rsid w:val="00C871CB"/>
    <w:rsid w:val="00C901B3"/>
    <w:rsid w:val="00C90C84"/>
    <w:rsid w:val="00C90E03"/>
    <w:rsid w:val="00C90ECC"/>
    <w:rsid w:val="00C9113B"/>
    <w:rsid w:val="00C9134D"/>
    <w:rsid w:val="00C91D73"/>
    <w:rsid w:val="00C9226D"/>
    <w:rsid w:val="00C92364"/>
    <w:rsid w:val="00C92CC2"/>
    <w:rsid w:val="00C92F0A"/>
    <w:rsid w:val="00C92F40"/>
    <w:rsid w:val="00C93468"/>
    <w:rsid w:val="00C93482"/>
    <w:rsid w:val="00C93DDF"/>
    <w:rsid w:val="00C949C9"/>
    <w:rsid w:val="00C94B91"/>
    <w:rsid w:val="00C94DCE"/>
    <w:rsid w:val="00C9510B"/>
    <w:rsid w:val="00C95246"/>
    <w:rsid w:val="00C958FF"/>
    <w:rsid w:val="00C96A28"/>
    <w:rsid w:val="00C971CA"/>
    <w:rsid w:val="00C973DE"/>
    <w:rsid w:val="00C976AC"/>
    <w:rsid w:val="00C97D39"/>
    <w:rsid w:val="00C97E87"/>
    <w:rsid w:val="00C97F28"/>
    <w:rsid w:val="00C97F42"/>
    <w:rsid w:val="00CA0791"/>
    <w:rsid w:val="00CA0A19"/>
    <w:rsid w:val="00CA0BA8"/>
    <w:rsid w:val="00CA0C5B"/>
    <w:rsid w:val="00CA0DD7"/>
    <w:rsid w:val="00CA19F7"/>
    <w:rsid w:val="00CA1EBA"/>
    <w:rsid w:val="00CA218F"/>
    <w:rsid w:val="00CA247A"/>
    <w:rsid w:val="00CA2575"/>
    <w:rsid w:val="00CA2582"/>
    <w:rsid w:val="00CA2716"/>
    <w:rsid w:val="00CA2859"/>
    <w:rsid w:val="00CA2A10"/>
    <w:rsid w:val="00CA2CFA"/>
    <w:rsid w:val="00CA2DFF"/>
    <w:rsid w:val="00CA2F2A"/>
    <w:rsid w:val="00CA30E1"/>
    <w:rsid w:val="00CA3205"/>
    <w:rsid w:val="00CA333D"/>
    <w:rsid w:val="00CA3782"/>
    <w:rsid w:val="00CA3987"/>
    <w:rsid w:val="00CA4368"/>
    <w:rsid w:val="00CA48ED"/>
    <w:rsid w:val="00CA4A56"/>
    <w:rsid w:val="00CA4CDB"/>
    <w:rsid w:val="00CA4D7E"/>
    <w:rsid w:val="00CA4DE8"/>
    <w:rsid w:val="00CA52FA"/>
    <w:rsid w:val="00CA57C4"/>
    <w:rsid w:val="00CA5B25"/>
    <w:rsid w:val="00CA5B2A"/>
    <w:rsid w:val="00CA5F22"/>
    <w:rsid w:val="00CA5F40"/>
    <w:rsid w:val="00CA644F"/>
    <w:rsid w:val="00CA672E"/>
    <w:rsid w:val="00CA6749"/>
    <w:rsid w:val="00CA6818"/>
    <w:rsid w:val="00CA69DC"/>
    <w:rsid w:val="00CA6CAF"/>
    <w:rsid w:val="00CA716E"/>
    <w:rsid w:val="00CA72AF"/>
    <w:rsid w:val="00CA76F7"/>
    <w:rsid w:val="00CA7E34"/>
    <w:rsid w:val="00CB0494"/>
    <w:rsid w:val="00CB0B7E"/>
    <w:rsid w:val="00CB0DF4"/>
    <w:rsid w:val="00CB1345"/>
    <w:rsid w:val="00CB13BE"/>
    <w:rsid w:val="00CB1545"/>
    <w:rsid w:val="00CB21A5"/>
    <w:rsid w:val="00CB25EF"/>
    <w:rsid w:val="00CB300B"/>
    <w:rsid w:val="00CB31C3"/>
    <w:rsid w:val="00CB3236"/>
    <w:rsid w:val="00CB3797"/>
    <w:rsid w:val="00CB45CC"/>
    <w:rsid w:val="00CB54B5"/>
    <w:rsid w:val="00CB55E5"/>
    <w:rsid w:val="00CB5699"/>
    <w:rsid w:val="00CB5828"/>
    <w:rsid w:val="00CB5901"/>
    <w:rsid w:val="00CB5ED8"/>
    <w:rsid w:val="00CB5F83"/>
    <w:rsid w:val="00CB61A6"/>
    <w:rsid w:val="00CB63EA"/>
    <w:rsid w:val="00CB6EEB"/>
    <w:rsid w:val="00CB7B7D"/>
    <w:rsid w:val="00CB7DAA"/>
    <w:rsid w:val="00CB7E17"/>
    <w:rsid w:val="00CC0084"/>
    <w:rsid w:val="00CC0434"/>
    <w:rsid w:val="00CC0AE0"/>
    <w:rsid w:val="00CC0B6A"/>
    <w:rsid w:val="00CC0FCA"/>
    <w:rsid w:val="00CC1177"/>
    <w:rsid w:val="00CC125E"/>
    <w:rsid w:val="00CC1283"/>
    <w:rsid w:val="00CC1330"/>
    <w:rsid w:val="00CC1966"/>
    <w:rsid w:val="00CC2147"/>
    <w:rsid w:val="00CC2E15"/>
    <w:rsid w:val="00CC2F66"/>
    <w:rsid w:val="00CC2FAB"/>
    <w:rsid w:val="00CC3276"/>
    <w:rsid w:val="00CC3DC6"/>
    <w:rsid w:val="00CC3E37"/>
    <w:rsid w:val="00CC3F59"/>
    <w:rsid w:val="00CC46B0"/>
    <w:rsid w:val="00CC48DB"/>
    <w:rsid w:val="00CC4F32"/>
    <w:rsid w:val="00CC512A"/>
    <w:rsid w:val="00CC6B48"/>
    <w:rsid w:val="00CC6C18"/>
    <w:rsid w:val="00CD0830"/>
    <w:rsid w:val="00CD090E"/>
    <w:rsid w:val="00CD12DC"/>
    <w:rsid w:val="00CD1A43"/>
    <w:rsid w:val="00CD1DE0"/>
    <w:rsid w:val="00CD23EC"/>
    <w:rsid w:val="00CD2534"/>
    <w:rsid w:val="00CD3433"/>
    <w:rsid w:val="00CD34BC"/>
    <w:rsid w:val="00CD430D"/>
    <w:rsid w:val="00CD47CF"/>
    <w:rsid w:val="00CD50D0"/>
    <w:rsid w:val="00CD562A"/>
    <w:rsid w:val="00CD5B9D"/>
    <w:rsid w:val="00CD637B"/>
    <w:rsid w:val="00CD69F3"/>
    <w:rsid w:val="00CD6AC0"/>
    <w:rsid w:val="00CD750E"/>
    <w:rsid w:val="00CE0398"/>
    <w:rsid w:val="00CE05C2"/>
    <w:rsid w:val="00CE0C61"/>
    <w:rsid w:val="00CE0E9D"/>
    <w:rsid w:val="00CE0EFD"/>
    <w:rsid w:val="00CE1087"/>
    <w:rsid w:val="00CE1A51"/>
    <w:rsid w:val="00CE20FC"/>
    <w:rsid w:val="00CE2CA0"/>
    <w:rsid w:val="00CE3246"/>
    <w:rsid w:val="00CE365F"/>
    <w:rsid w:val="00CE3968"/>
    <w:rsid w:val="00CE3AB1"/>
    <w:rsid w:val="00CE3C06"/>
    <w:rsid w:val="00CE3DAC"/>
    <w:rsid w:val="00CE4085"/>
    <w:rsid w:val="00CE4620"/>
    <w:rsid w:val="00CE478E"/>
    <w:rsid w:val="00CE57B7"/>
    <w:rsid w:val="00CE630B"/>
    <w:rsid w:val="00CE6EAC"/>
    <w:rsid w:val="00CE6ECB"/>
    <w:rsid w:val="00CE70FF"/>
    <w:rsid w:val="00CE7326"/>
    <w:rsid w:val="00CE74F0"/>
    <w:rsid w:val="00CF0280"/>
    <w:rsid w:val="00CF058E"/>
    <w:rsid w:val="00CF089F"/>
    <w:rsid w:val="00CF0CC8"/>
    <w:rsid w:val="00CF0F32"/>
    <w:rsid w:val="00CF16A6"/>
    <w:rsid w:val="00CF1C36"/>
    <w:rsid w:val="00CF21D2"/>
    <w:rsid w:val="00CF2684"/>
    <w:rsid w:val="00CF269C"/>
    <w:rsid w:val="00CF28D0"/>
    <w:rsid w:val="00CF29B7"/>
    <w:rsid w:val="00CF3F17"/>
    <w:rsid w:val="00CF4055"/>
    <w:rsid w:val="00CF5614"/>
    <w:rsid w:val="00CF588C"/>
    <w:rsid w:val="00CF59CC"/>
    <w:rsid w:val="00CF5FB0"/>
    <w:rsid w:val="00CF644A"/>
    <w:rsid w:val="00CF75E0"/>
    <w:rsid w:val="00CF76C1"/>
    <w:rsid w:val="00CF7A59"/>
    <w:rsid w:val="00CF7C77"/>
    <w:rsid w:val="00CF7CAB"/>
    <w:rsid w:val="00D00ADA"/>
    <w:rsid w:val="00D012FD"/>
    <w:rsid w:val="00D02627"/>
    <w:rsid w:val="00D02A80"/>
    <w:rsid w:val="00D02D59"/>
    <w:rsid w:val="00D02FDF"/>
    <w:rsid w:val="00D03176"/>
    <w:rsid w:val="00D0338C"/>
    <w:rsid w:val="00D0341A"/>
    <w:rsid w:val="00D0372D"/>
    <w:rsid w:val="00D0374B"/>
    <w:rsid w:val="00D03BE8"/>
    <w:rsid w:val="00D03C70"/>
    <w:rsid w:val="00D04178"/>
    <w:rsid w:val="00D046E6"/>
    <w:rsid w:val="00D049AF"/>
    <w:rsid w:val="00D05393"/>
    <w:rsid w:val="00D053A3"/>
    <w:rsid w:val="00D05490"/>
    <w:rsid w:val="00D058A6"/>
    <w:rsid w:val="00D06920"/>
    <w:rsid w:val="00D06F46"/>
    <w:rsid w:val="00D07E26"/>
    <w:rsid w:val="00D101AF"/>
    <w:rsid w:val="00D10861"/>
    <w:rsid w:val="00D10DAD"/>
    <w:rsid w:val="00D11168"/>
    <w:rsid w:val="00D111C8"/>
    <w:rsid w:val="00D1135D"/>
    <w:rsid w:val="00D11516"/>
    <w:rsid w:val="00D1178B"/>
    <w:rsid w:val="00D11C0E"/>
    <w:rsid w:val="00D12140"/>
    <w:rsid w:val="00D125EB"/>
    <w:rsid w:val="00D12757"/>
    <w:rsid w:val="00D1334D"/>
    <w:rsid w:val="00D134F5"/>
    <w:rsid w:val="00D136AD"/>
    <w:rsid w:val="00D1439B"/>
    <w:rsid w:val="00D1490C"/>
    <w:rsid w:val="00D14B2E"/>
    <w:rsid w:val="00D14CA9"/>
    <w:rsid w:val="00D14F60"/>
    <w:rsid w:val="00D15405"/>
    <w:rsid w:val="00D1578B"/>
    <w:rsid w:val="00D15989"/>
    <w:rsid w:val="00D15A4D"/>
    <w:rsid w:val="00D15E97"/>
    <w:rsid w:val="00D165E1"/>
    <w:rsid w:val="00D168A2"/>
    <w:rsid w:val="00D169EC"/>
    <w:rsid w:val="00D16F9F"/>
    <w:rsid w:val="00D1703C"/>
    <w:rsid w:val="00D170F5"/>
    <w:rsid w:val="00D170FB"/>
    <w:rsid w:val="00D17206"/>
    <w:rsid w:val="00D17BEB"/>
    <w:rsid w:val="00D17C69"/>
    <w:rsid w:val="00D2012D"/>
    <w:rsid w:val="00D2054A"/>
    <w:rsid w:val="00D2089E"/>
    <w:rsid w:val="00D20C4B"/>
    <w:rsid w:val="00D20E30"/>
    <w:rsid w:val="00D211B6"/>
    <w:rsid w:val="00D21522"/>
    <w:rsid w:val="00D22ADF"/>
    <w:rsid w:val="00D22DC3"/>
    <w:rsid w:val="00D22DE5"/>
    <w:rsid w:val="00D22DEC"/>
    <w:rsid w:val="00D22E7E"/>
    <w:rsid w:val="00D22EE2"/>
    <w:rsid w:val="00D237B1"/>
    <w:rsid w:val="00D238BE"/>
    <w:rsid w:val="00D23C8B"/>
    <w:rsid w:val="00D23CB0"/>
    <w:rsid w:val="00D23F7D"/>
    <w:rsid w:val="00D245A9"/>
    <w:rsid w:val="00D2513C"/>
    <w:rsid w:val="00D25D02"/>
    <w:rsid w:val="00D260CF"/>
    <w:rsid w:val="00D2645F"/>
    <w:rsid w:val="00D264E3"/>
    <w:rsid w:val="00D2691A"/>
    <w:rsid w:val="00D273E4"/>
    <w:rsid w:val="00D27A8A"/>
    <w:rsid w:val="00D27CD4"/>
    <w:rsid w:val="00D27E57"/>
    <w:rsid w:val="00D30330"/>
    <w:rsid w:val="00D30462"/>
    <w:rsid w:val="00D3081E"/>
    <w:rsid w:val="00D30F4F"/>
    <w:rsid w:val="00D31A32"/>
    <w:rsid w:val="00D31BFD"/>
    <w:rsid w:val="00D31C19"/>
    <w:rsid w:val="00D325BF"/>
    <w:rsid w:val="00D329B2"/>
    <w:rsid w:val="00D32DAF"/>
    <w:rsid w:val="00D335CE"/>
    <w:rsid w:val="00D337CC"/>
    <w:rsid w:val="00D3408C"/>
    <w:rsid w:val="00D34D25"/>
    <w:rsid w:val="00D35A5E"/>
    <w:rsid w:val="00D35C92"/>
    <w:rsid w:val="00D372D5"/>
    <w:rsid w:val="00D37AA9"/>
    <w:rsid w:val="00D37AD8"/>
    <w:rsid w:val="00D4003E"/>
    <w:rsid w:val="00D404CA"/>
    <w:rsid w:val="00D40520"/>
    <w:rsid w:val="00D40AA4"/>
    <w:rsid w:val="00D40F5C"/>
    <w:rsid w:val="00D41783"/>
    <w:rsid w:val="00D41879"/>
    <w:rsid w:val="00D421AC"/>
    <w:rsid w:val="00D421D6"/>
    <w:rsid w:val="00D422D4"/>
    <w:rsid w:val="00D42591"/>
    <w:rsid w:val="00D4295F"/>
    <w:rsid w:val="00D43571"/>
    <w:rsid w:val="00D43699"/>
    <w:rsid w:val="00D43A47"/>
    <w:rsid w:val="00D43F38"/>
    <w:rsid w:val="00D441D2"/>
    <w:rsid w:val="00D449EC"/>
    <w:rsid w:val="00D44CB5"/>
    <w:rsid w:val="00D4509F"/>
    <w:rsid w:val="00D453B9"/>
    <w:rsid w:val="00D45535"/>
    <w:rsid w:val="00D456B8"/>
    <w:rsid w:val="00D45809"/>
    <w:rsid w:val="00D45A16"/>
    <w:rsid w:val="00D45EED"/>
    <w:rsid w:val="00D4627B"/>
    <w:rsid w:val="00D47689"/>
    <w:rsid w:val="00D4793C"/>
    <w:rsid w:val="00D47A4E"/>
    <w:rsid w:val="00D5015F"/>
    <w:rsid w:val="00D50579"/>
    <w:rsid w:val="00D50AE4"/>
    <w:rsid w:val="00D50E5B"/>
    <w:rsid w:val="00D51223"/>
    <w:rsid w:val="00D5127E"/>
    <w:rsid w:val="00D52496"/>
    <w:rsid w:val="00D538CD"/>
    <w:rsid w:val="00D53CD3"/>
    <w:rsid w:val="00D54153"/>
    <w:rsid w:val="00D5484C"/>
    <w:rsid w:val="00D54F92"/>
    <w:rsid w:val="00D5500D"/>
    <w:rsid w:val="00D556BB"/>
    <w:rsid w:val="00D55B4B"/>
    <w:rsid w:val="00D55F2D"/>
    <w:rsid w:val="00D56211"/>
    <w:rsid w:val="00D56317"/>
    <w:rsid w:val="00D56461"/>
    <w:rsid w:val="00D56564"/>
    <w:rsid w:val="00D5675D"/>
    <w:rsid w:val="00D5696C"/>
    <w:rsid w:val="00D56E43"/>
    <w:rsid w:val="00D57516"/>
    <w:rsid w:val="00D57912"/>
    <w:rsid w:val="00D57BC4"/>
    <w:rsid w:val="00D603A8"/>
    <w:rsid w:val="00D604D0"/>
    <w:rsid w:val="00D6065F"/>
    <w:rsid w:val="00D60758"/>
    <w:rsid w:val="00D60A2D"/>
    <w:rsid w:val="00D60D57"/>
    <w:rsid w:val="00D60D7B"/>
    <w:rsid w:val="00D6146B"/>
    <w:rsid w:val="00D6167B"/>
    <w:rsid w:val="00D61A45"/>
    <w:rsid w:val="00D61A4D"/>
    <w:rsid w:val="00D62003"/>
    <w:rsid w:val="00D622BC"/>
    <w:rsid w:val="00D62A83"/>
    <w:rsid w:val="00D62E81"/>
    <w:rsid w:val="00D62FA7"/>
    <w:rsid w:val="00D63B4D"/>
    <w:rsid w:val="00D63CA0"/>
    <w:rsid w:val="00D64120"/>
    <w:rsid w:val="00D643F6"/>
    <w:rsid w:val="00D64BA1"/>
    <w:rsid w:val="00D66117"/>
    <w:rsid w:val="00D66169"/>
    <w:rsid w:val="00D6690A"/>
    <w:rsid w:val="00D66BC2"/>
    <w:rsid w:val="00D66EDF"/>
    <w:rsid w:val="00D67638"/>
    <w:rsid w:val="00D67738"/>
    <w:rsid w:val="00D67BBE"/>
    <w:rsid w:val="00D67E1A"/>
    <w:rsid w:val="00D7005D"/>
    <w:rsid w:val="00D70146"/>
    <w:rsid w:val="00D701EB"/>
    <w:rsid w:val="00D7049F"/>
    <w:rsid w:val="00D7051D"/>
    <w:rsid w:val="00D70AB7"/>
    <w:rsid w:val="00D70F51"/>
    <w:rsid w:val="00D7133E"/>
    <w:rsid w:val="00D71477"/>
    <w:rsid w:val="00D71904"/>
    <w:rsid w:val="00D71C9B"/>
    <w:rsid w:val="00D726A1"/>
    <w:rsid w:val="00D72F1F"/>
    <w:rsid w:val="00D730F3"/>
    <w:rsid w:val="00D7348B"/>
    <w:rsid w:val="00D73585"/>
    <w:rsid w:val="00D7360A"/>
    <w:rsid w:val="00D737CF"/>
    <w:rsid w:val="00D73880"/>
    <w:rsid w:val="00D73A77"/>
    <w:rsid w:val="00D74081"/>
    <w:rsid w:val="00D7539C"/>
    <w:rsid w:val="00D754CF"/>
    <w:rsid w:val="00D76A0C"/>
    <w:rsid w:val="00D76BE5"/>
    <w:rsid w:val="00D773A0"/>
    <w:rsid w:val="00D77B69"/>
    <w:rsid w:val="00D77EC5"/>
    <w:rsid w:val="00D80578"/>
    <w:rsid w:val="00D812CE"/>
    <w:rsid w:val="00D814BD"/>
    <w:rsid w:val="00D81530"/>
    <w:rsid w:val="00D817C3"/>
    <w:rsid w:val="00D81CF5"/>
    <w:rsid w:val="00D8252D"/>
    <w:rsid w:val="00D826EF"/>
    <w:rsid w:val="00D82783"/>
    <w:rsid w:val="00D82AB3"/>
    <w:rsid w:val="00D82F49"/>
    <w:rsid w:val="00D831F1"/>
    <w:rsid w:val="00D835BA"/>
    <w:rsid w:val="00D84787"/>
    <w:rsid w:val="00D84A6C"/>
    <w:rsid w:val="00D84B78"/>
    <w:rsid w:val="00D85148"/>
    <w:rsid w:val="00D859C0"/>
    <w:rsid w:val="00D85B9B"/>
    <w:rsid w:val="00D860D2"/>
    <w:rsid w:val="00D86418"/>
    <w:rsid w:val="00D87043"/>
    <w:rsid w:val="00D870FA"/>
    <w:rsid w:val="00D871AA"/>
    <w:rsid w:val="00D87AC6"/>
    <w:rsid w:val="00D87D5E"/>
    <w:rsid w:val="00D91235"/>
    <w:rsid w:val="00D912E5"/>
    <w:rsid w:val="00D91321"/>
    <w:rsid w:val="00D913EF"/>
    <w:rsid w:val="00D91488"/>
    <w:rsid w:val="00D9158B"/>
    <w:rsid w:val="00D91608"/>
    <w:rsid w:val="00D9162F"/>
    <w:rsid w:val="00D91B6C"/>
    <w:rsid w:val="00D92120"/>
    <w:rsid w:val="00D924F4"/>
    <w:rsid w:val="00D92B68"/>
    <w:rsid w:val="00D92D0B"/>
    <w:rsid w:val="00D92DA0"/>
    <w:rsid w:val="00D9336C"/>
    <w:rsid w:val="00D934D0"/>
    <w:rsid w:val="00D945BE"/>
    <w:rsid w:val="00D948BC"/>
    <w:rsid w:val="00D953D3"/>
    <w:rsid w:val="00D95AC3"/>
    <w:rsid w:val="00D96172"/>
    <w:rsid w:val="00D96F98"/>
    <w:rsid w:val="00D974F6"/>
    <w:rsid w:val="00D97A0A"/>
    <w:rsid w:val="00D97DEB"/>
    <w:rsid w:val="00D97ECF"/>
    <w:rsid w:val="00DA02EA"/>
    <w:rsid w:val="00DA0966"/>
    <w:rsid w:val="00DA22C0"/>
    <w:rsid w:val="00DA2A69"/>
    <w:rsid w:val="00DA2D07"/>
    <w:rsid w:val="00DA2D8D"/>
    <w:rsid w:val="00DA382E"/>
    <w:rsid w:val="00DA3B39"/>
    <w:rsid w:val="00DA3C3D"/>
    <w:rsid w:val="00DA4A3E"/>
    <w:rsid w:val="00DA4D3B"/>
    <w:rsid w:val="00DA620A"/>
    <w:rsid w:val="00DA6B10"/>
    <w:rsid w:val="00DA6B6A"/>
    <w:rsid w:val="00DA6C04"/>
    <w:rsid w:val="00DA75AF"/>
    <w:rsid w:val="00DA7617"/>
    <w:rsid w:val="00DA76C6"/>
    <w:rsid w:val="00DA77D5"/>
    <w:rsid w:val="00DA79A2"/>
    <w:rsid w:val="00DA7FD4"/>
    <w:rsid w:val="00DB029D"/>
    <w:rsid w:val="00DB076C"/>
    <w:rsid w:val="00DB0955"/>
    <w:rsid w:val="00DB09A5"/>
    <w:rsid w:val="00DB0A40"/>
    <w:rsid w:val="00DB10E3"/>
    <w:rsid w:val="00DB13BE"/>
    <w:rsid w:val="00DB1E20"/>
    <w:rsid w:val="00DB1FE4"/>
    <w:rsid w:val="00DB25E3"/>
    <w:rsid w:val="00DB29A7"/>
    <w:rsid w:val="00DB2A39"/>
    <w:rsid w:val="00DB2A42"/>
    <w:rsid w:val="00DB30B2"/>
    <w:rsid w:val="00DB352A"/>
    <w:rsid w:val="00DB36BE"/>
    <w:rsid w:val="00DB3856"/>
    <w:rsid w:val="00DB4130"/>
    <w:rsid w:val="00DB41DF"/>
    <w:rsid w:val="00DB41E2"/>
    <w:rsid w:val="00DB43A9"/>
    <w:rsid w:val="00DB4B6C"/>
    <w:rsid w:val="00DB515E"/>
    <w:rsid w:val="00DB544C"/>
    <w:rsid w:val="00DB54DA"/>
    <w:rsid w:val="00DB5B55"/>
    <w:rsid w:val="00DB60F3"/>
    <w:rsid w:val="00DB640C"/>
    <w:rsid w:val="00DB6BA9"/>
    <w:rsid w:val="00DB725C"/>
    <w:rsid w:val="00DB7836"/>
    <w:rsid w:val="00DB7D2A"/>
    <w:rsid w:val="00DB7D75"/>
    <w:rsid w:val="00DB7EB1"/>
    <w:rsid w:val="00DC067B"/>
    <w:rsid w:val="00DC0994"/>
    <w:rsid w:val="00DC108D"/>
    <w:rsid w:val="00DC1129"/>
    <w:rsid w:val="00DC1740"/>
    <w:rsid w:val="00DC1B5B"/>
    <w:rsid w:val="00DC1F20"/>
    <w:rsid w:val="00DC2610"/>
    <w:rsid w:val="00DC27E7"/>
    <w:rsid w:val="00DC2A9D"/>
    <w:rsid w:val="00DC2AD8"/>
    <w:rsid w:val="00DC2D67"/>
    <w:rsid w:val="00DC2F08"/>
    <w:rsid w:val="00DC3119"/>
    <w:rsid w:val="00DC3254"/>
    <w:rsid w:val="00DC3B54"/>
    <w:rsid w:val="00DC43E0"/>
    <w:rsid w:val="00DC4BF2"/>
    <w:rsid w:val="00DC4E70"/>
    <w:rsid w:val="00DC5AA1"/>
    <w:rsid w:val="00DC5AE8"/>
    <w:rsid w:val="00DC5DF0"/>
    <w:rsid w:val="00DC6249"/>
    <w:rsid w:val="00DC6724"/>
    <w:rsid w:val="00DC6A94"/>
    <w:rsid w:val="00DC6B79"/>
    <w:rsid w:val="00DC6C7E"/>
    <w:rsid w:val="00DC7314"/>
    <w:rsid w:val="00DC733B"/>
    <w:rsid w:val="00DC7BDD"/>
    <w:rsid w:val="00DC7BF6"/>
    <w:rsid w:val="00DD0008"/>
    <w:rsid w:val="00DD0621"/>
    <w:rsid w:val="00DD0CD8"/>
    <w:rsid w:val="00DD113F"/>
    <w:rsid w:val="00DD1FD7"/>
    <w:rsid w:val="00DD2293"/>
    <w:rsid w:val="00DD2424"/>
    <w:rsid w:val="00DD3755"/>
    <w:rsid w:val="00DD3A40"/>
    <w:rsid w:val="00DD416A"/>
    <w:rsid w:val="00DD4290"/>
    <w:rsid w:val="00DD4708"/>
    <w:rsid w:val="00DD48BE"/>
    <w:rsid w:val="00DD49F8"/>
    <w:rsid w:val="00DD4DDC"/>
    <w:rsid w:val="00DD5614"/>
    <w:rsid w:val="00DD5E19"/>
    <w:rsid w:val="00DD62AC"/>
    <w:rsid w:val="00DD6911"/>
    <w:rsid w:val="00DD6C0C"/>
    <w:rsid w:val="00DD701D"/>
    <w:rsid w:val="00DD7558"/>
    <w:rsid w:val="00DD7AB2"/>
    <w:rsid w:val="00DE08EC"/>
    <w:rsid w:val="00DE0FA3"/>
    <w:rsid w:val="00DE151E"/>
    <w:rsid w:val="00DE16BF"/>
    <w:rsid w:val="00DE174E"/>
    <w:rsid w:val="00DE1A3D"/>
    <w:rsid w:val="00DE1B30"/>
    <w:rsid w:val="00DE1DCE"/>
    <w:rsid w:val="00DE1E43"/>
    <w:rsid w:val="00DE20A7"/>
    <w:rsid w:val="00DE2CD0"/>
    <w:rsid w:val="00DE2F37"/>
    <w:rsid w:val="00DE3522"/>
    <w:rsid w:val="00DE3593"/>
    <w:rsid w:val="00DE3617"/>
    <w:rsid w:val="00DE3BDF"/>
    <w:rsid w:val="00DE4000"/>
    <w:rsid w:val="00DE4047"/>
    <w:rsid w:val="00DE45EC"/>
    <w:rsid w:val="00DE467D"/>
    <w:rsid w:val="00DE47D4"/>
    <w:rsid w:val="00DE4F5D"/>
    <w:rsid w:val="00DE565D"/>
    <w:rsid w:val="00DE5712"/>
    <w:rsid w:val="00DE5826"/>
    <w:rsid w:val="00DE6BB8"/>
    <w:rsid w:val="00DE6FD0"/>
    <w:rsid w:val="00DE771A"/>
    <w:rsid w:val="00DE779D"/>
    <w:rsid w:val="00DE7826"/>
    <w:rsid w:val="00DE7AE3"/>
    <w:rsid w:val="00DE7E0E"/>
    <w:rsid w:val="00DF0F45"/>
    <w:rsid w:val="00DF117B"/>
    <w:rsid w:val="00DF1264"/>
    <w:rsid w:val="00DF12E2"/>
    <w:rsid w:val="00DF14C2"/>
    <w:rsid w:val="00DF157C"/>
    <w:rsid w:val="00DF1FFF"/>
    <w:rsid w:val="00DF235A"/>
    <w:rsid w:val="00DF24CB"/>
    <w:rsid w:val="00DF250F"/>
    <w:rsid w:val="00DF27F4"/>
    <w:rsid w:val="00DF28EA"/>
    <w:rsid w:val="00DF29D4"/>
    <w:rsid w:val="00DF2CCD"/>
    <w:rsid w:val="00DF2E74"/>
    <w:rsid w:val="00DF3D4F"/>
    <w:rsid w:val="00DF3F66"/>
    <w:rsid w:val="00DF45E2"/>
    <w:rsid w:val="00DF462F"/>
    <w:rsid w:val="00DF4F46"/>
    <w:rsid w:val="00DF5602"/>
    <w:rsid w:val="00DF5D16"/>
    <w:rsid w:val="00DF5D2E"/>
    <w:rsid w:val="00DF5D32"/>
    <w:rsid w:val="00DF605E"/>
    <w:rsid w:val="00DF6184"/>
    <w:rsid w:val="00DF683B"/>
    <w:rsid w:val="00DF6ECA"/>
    <w:rsid w:val="00DF6F99"/>
    <w:rsid w:val="00DF6FE9"/>
    <w:rsid w:val="00DF70F7"/>
    <w:rsid w:val="00DF717E"/>
    <w:rsid w:val="00DF731A"/>
    <w:rsid w:val="00DF765E"/>
    <w:rsid w:val="00DF7BEC"/>
    <w:rsid w:val="00DF7C7F"/>
    <w:rsid w:val="00DF7EC7"/>
    <w:rsid w:val="00E00829"/>
    <w:rsid w:val="00E00D33"/>
    <w:rsid w:val="00E0152C"/>
    <w:rsid w:val="00E02101"/>
    <w:rsid w:val="00E02AAE"/>
    <w:rsid w:val="00E02BD2"/>
    <w:rsid w:val="00E02CE8"/>
    <w:rsid w:val="00E02E43"/>
    <w:rsid w:val="00E0333F"/>
    <w:rsid w:val="00E03B1A"/>
    <w:rsid w:val="00E03CE6"/>
    <w:rsid w:val="00E04AA9"/>
    <w:rsid w:val="00E04B6A"/>
    <w:rsid w:val="00E04B7E"/>
    <w:rsid w:val="00E04C87"/>
    <w:rsid w:val="00E05E53"/>
    <w:rsid w:val="00E05EB2"/>
    <w:rsid w:val="00E05F98"/>
    <w:rsid w:val="00E061B7"/>
    <w:rsid w:val="00E06273"/>
    <w:rsid w:val="00E06491"/>
    <w:rsid w:val="00E075BD"/>
    <w:rsid w:val="00E07932"/>
    <w:rsid w:val="00E079FB"/>
    <w:rsid w:val="00E07DA5"/>
    <w:rsid w:val="00E07FD6"/>
    <w:rsid w:val="00E108BD"/>
    <w:rsid w:val="00E109E3"/>
    <w:rsid w:val="00E112C4"/>
    <w:rsid w:val="00E1167E"/>
    <w:rsid w:val="00E12037"/>
    <w:rsid w:val="00E121EF"/>
    <w:rsid w:val="00E124E0"/>
    <w:rsid w:val="00E1295A"/>
    <w:rsid w:val="00E132EF"/>
    <w:rsid w:val="00E13338"/>
    <w:rsid w:val="00E137F2"/>
    <w:rsid w:val="00E140C8"/>
    <w:rsid w:val="00E142FE"/>
    <w:rsid w:val="00E145FA"/>
    <w:rsid w:val="00E14663"/>
    <w:rsid w:val="00E14E5A"/>
    <w:rsid w:val="00E159DB"/>
    <w:rsid w:val="00E15CB5"/>
    <w:rsid w:val="00E15CF4"/>
    <w:rsid w:val="00E1633C"/>
    <w:rsid w:val="00E16845"/>
    <w:rsid w:val="00E16E71"/>
    <w:rsid w:val="00E170A4"/>
    <w:rsid w:val="00E171FF"/>
    <w:rsid w:val="00E174E6"/>
    <w:rsid w:val="00E1765E"/>
    <w:rsid w:val="00E20322"/>
    <w:rsid w:val="00E20F22"/>
    <w:rsid w:val="00E219C8"/>
    <w:rsid w:val="00E21EF9"/>
    <w:rsid w:val="00E22205"/>
    <w:rsid w:val="00E22320"/>
    <w:rsid w:val="00E22454"/>
    <w:rsid w:val="00E22556"/>
    <w:rsid w:val="00E2259F"/>
    <w:rsid w:val="00E22841"/>
    <w:rsid w:val="00E238FC"/>
    <w:rsid w:val="00E23F44"/>
    <w:rsid w:val="00E243C1"/>
    <w:rsid w:val="00E245B0"/>
    <w:rsid w:val="00E24A4B"/>
    <w:rsid w:val="00E251D6"/>
    <w:rsid w:val="00E25348"/>
    <w:rsid w:val="00E256D6"/>
    <w:rsid w:val="00E257B1"/>
    <w:rsid w:val="00E262F0"/>
    <w:rsid w:val="00E268DF"/>
    <w:rsid w:val="00E26CA2"/>
    <w:rsid w:val="00E27904"/>
    <w:rsid w:val="00E27A83"/>
    <w:rsid w:val="00E27C80"/>
    <w:rsid w:val="00E27DBC"/>
    <w:rsid w:val="00E30246"/>
    <w:rsid w:val="00E305F3"/>
    <w:rsid w:val="00E30B9B"/>
    <w:rsid w:val="00E30E9B"/>
    <w:rsid w:val="00E31205"/>
    <w:rsid w:val="00E31408"/>
    <w:rsid w:val="00E31D59"/>
    <w:rsid w:val="00E31FCC"/>
    <w:rsid w:val="00E32285"/>
    <w:rsid w:val="00E32784"/>
    <w:rsid w:val="00E327E0"/>
    <w:rsid w:val="00E32C0C"/>
    <w:rsid w:val="00E32FBE"/>
    <w:rsid w:val="00E331A8"/>
    <w:rsid w:val="00E33251"/>
    <w:rsid w:val="00E333AD"/>
    <w:rsid w:val="00E334FF"/>
    <w:rsid w:val="00E33659"/>
    <w:rsid w:val="00E336A5"/>
    <w:rsid w:val="00E337AA"/>
    <w:rsid w:val="00E33F69"/>
    <w:rsid w:val="00E34801"/>
    <w:rsid w:val="00E3500F"/>
    <w:rsid w:val="00E353C2"/>
    <w:rsid w:val="00E357B8"/>
    <w:rsid w:val="00E361D4"/>
    <w:rsid w:val="00E36BCD"/>
    <w:rsid w:val="00E36E31"/>
    <w:rsid w:val="00E377CA"/>
    <w:rsid w:val="00E379B0"/>
    <w:rsid w:val="00E379F1"/>
    <w:rsid w:val="00E4032F"/>
    <w:rsid w:val="00E4150F"/>
    <w:rsid w:val="00E41D1A"/>
    <w:rsid w:val="00E420E5"/>
    <w:rsid w:val="00E42459"/>
    <w:rsid w:val="00E42760"/>
    <w:rsid w:val="00E42B21"/>
    <w:rsid w:val="00E42D29"/>
    <w:rsid w:val="00E431AB"/>
    <w:rsid w:val="00E43793"/>
    <w:rsid w:val="00E43EAD"/>
    <w:rsid w:val="00E43EB4"/>
    <w:rsid w:val="00E446C6"/>
    <w:rsid w:val="00E4575E"/>
    <w:rsid w:val="00E458B5"/>
    <w:rsid w:val="00E45944"/>
    <w:rsid w:val="00E45C82"/>
    <w:rsid w:val="00E45ED0"/>
    <w:rsid w:val="00E46853"/>
    <w:rsid w:val="00E4699C"/>
    <w:rsid w:val="00E46C50"/>
    <w:rsid w:val="00E46CA7"/>
    <w:rsid w:val="00E474AA"/>
    <w:rsid w:val="00E4797C"/>
    <w:rsid w:val="00E479E5"/>
    <w:rsid w:val="00E47A5B"/>
    <w:rsid w:val="00E47DA7"/>
    <w:rsid w:val="00E5031C"/>
    <w:rsid w:val="00E506F3"/>
    <w:rsid w:val="00E507BD"/>
    <w:rsid w:val="00E50A5B"/>
    <w:rsid w:val="00E50E90"/>
    <w:rsid w:val="00E51609"/>
    <w:rsid w:val="00E5175A"/>
    <w:rsid w:val="00E51C99"/>
    <w:rsid w:val="00E51D1C"/>
    <w:rsid w:val="00E51F37"/>
    <w:rsid w:val="00E525D8"/>
    <w:rsid w:val="00E52937"/>
    <w:rsid w:val="00E52976"/>
    <w:rsid w:val="00E52C61"/>
    <w:rsid w:val="00E53058"/>
    <w:rsid w:val="00E53265"/>
    <w:rsid w:val="00E5364B"/>
    <w:rsid w:val="00E536A5"/>
    <w:rsid w:val="00E53A62"/>
    <w:rsid w:val="00E53CA4"/>
    <w:rsid w:val="00E54261"/>
    <w:rsid w:val="00E54620"/>
    <w:rsid w:val="00E54926"/>
    <w:rsid w:val="00E54942"/>
    <w:rsid w:val="00E550CD"/>
    <w:rsid w:val="00E55655"/>
    <w:rsid w:val="00E560C4"/>
    <w:rsid w:val="00E5619A"/>
    <w:rsid w:val="00E563DE"/>
    <w:rsid w:val="00E5676F"/>
    <w:rsid w:val="00E56C43"/>
    <w:rsid w:val="00E570F6"/>
    <w:rsid w:val="00E5739B"/>
    <w:rsid w:val="00E57951"/>
    <w:rsid w:val="00E57A4C"/>
    <w:rsid w:val="00E57EEE"/>
    <w:rsid w:val="00E6008D"/>
    <w:rsid w:val="00E613AE"/>
    <w:rsid w:val="00E61CCE"/>
    <w:rsid w:val="00E61DC4"/>
    <w:rsid w:val="00E61EA8"/>
    <w:rsid w:val="00E621A4"/>
    <w:rsid w:val="00E62307"/>
    <w:rsid w:val="00E62446"/>
    <w:rsid w:val="00E63311"/>
    <w:rsid w:val="00E634BA"/>
    <w:rsid w:val="00E63B2B"/>
    <w:rsid w:val="00E64E3C"/>
    <w:rsid w:val="00E65EC8"/>
    <w:rsid w:val="00E65FA9"/>
    <w:rsid w:val="00E661C4"/>
    <w:rsid w:val="00E6734C"/>
    <w:rsid w:val="00E674FF"/>
    <w:rsid w:val="00E676F4"/>
    <w:rsid w:val="00E678A7"/>
    <w:rsid w:val="00E67920"/>
    <w:rsid w:val="00E67BD3"/>
    <w:rsid w:val="00E67C6C"/>
    <w:rsid w:val="00E70765"/>
    <w:rsid w:val="00E7086F"/>
    <w:rsid w:val="00E70C25"/>
    <w:rsid w:val="00E70DBD"/>
    <w:rsid w:val="00E713D8"/>
    <w:rsid w:val="00E71865"/>
    <w:rsid w:val="00E72770"/>
    <w:rsid w:val="00E729DE"/>
    <w:rsid w:val="00E72D68"/>
    <w:rsid w:val="00E72E30"/>
    <w:rsid w:val="00E730F4"/>
    <w:rsid w:val="00E73300"/>
    <w:rsid w:val="00E73B41"/>
    <w:rsid w:val="00E7403B"/>
    <w:rsid w:val="00E740DB"/>
    <w:rsid w:val="00E7476E"/>
    <w:rsid w:val="00E747AF"/>
    <w:rsid w:val="00E74B35"/>
    <w:rsid w:val="00E7535F"/>
    <w:rsid w:val="00E75819"/>
    <w:rsid w:val="00E75C93"/>
    <w:rsid w:val="00E75DB7"/>
    <w:rsid w:val="00E75F9F"/>
    <w:rsid w:val="00E803A3"/>
    <w:rsid w:val="00E80668"/>
    <w:rsid w:val="00E8084F"/>
    <w:rsid w:val="00E816FF"/>
    <w:rsid w:val="00E818FB"/>
    <w:rsid w:val="00E82459"/>
    <w:rsid w:val="00E826C4"/>
    <w:rsid w:val="00E82917"/>
    <w:rsid w:val="00E82E58"/>
    <w:rsid w:val="00E82F49"/>
    <w:rsid w:val="00E82FBD"/>
    <w:rsid w:val="00E83154"/>
    <w:rsid w:val="00E83229"/>
    <w:rsid w:val="00E83577"/>
    <w:rsid w:val="00E83604"/>
    <w:rsid w:val="00E83966"/>
    <w:rsid w:val="00E83C7C"/>
    <w:rsid w:val="00E843A0"/>
    <w:rsid w:val="00E846D8"/>
    <w:rsid w:val="00E84B26"/>
    <w:rsid w:val="00E84B71"/>
    <w:rsid w:val="00E8519F"/>
    <w:rsid w:val="00E85651"/>
    <w:rsid w:val="00E857B2"/>
    <w:rsid w:val="00E86292"/>
    <w:rsid w:val="00E867B7"/>
    <w:rsid w:val="00E86AF1"/>
    <w:rsid w:val="00E86CB6"/>
    <w:rsid w:val="00E86DF9"/>
    <w:rsid w:val="00E86F9D"/>
    <w:rsid w:val="00E87704"/>
    <w:rsid w:val="00E87D5A"/>
    <w:rsid w:val="00E87E20"/>
    <w:rsid w:val="00E906D3"/>
    <w:rsid w:val="00E90D49"/>
    <w:rsid w:val="00E90E50"/>
    <w:rsid w:val="00E90FE7"/>
    <w:rsid w:val="00E91121"/>
    <w:rsid w:val="00E9162E"/>
    <w:rsid w:val="00E917CC"/>
    <w:rsid w:val="00E91A29"/>
    <w:rsid w:val="00E91A98"/>
    <w:rsid w:val="00E91B1F"/>
    <w:rsid w:val="00E91FD8"/>
    <w:rsid w:val="00E92212"/>
    <w:rsid w:val="00E92590"/>
    <w:rsid w:val="00E92857"/>
    <w:rsid w:val="00E94136"/>
    <w:rsid w:val="00E95265"/>
    <w:rsid w:val="00E956C8"/>
    <w:rsid w:val="00E95934"/>
    <w:rsid w:val="00E961B0"/>
    <w:rsid w:val="00E96909"/>
    <w:rsid w:val="00E96A73"/>
    <w:rsid w:val="00E96ACE"/>
    <w:rsid w:val="00E96F6F"/>
    <w:rsid w:val="00E971E6"/>
    <w:rsid w:val="00E97291"/>
    <w:rsid w:val="00E97EAB"/>
    <w:rsid w:val="00E97F25"/>
    <w:rsid w:val="00EA05E4"/>
    <w:rsid w:val="00EA0FDA"/>
    <w:rsid w:val="00EA137D"/>
    <w:rsid w:val="00EA1B01"/>
    <w:rsid w:val="00EA21BA"/>
    <w:rsid w:val="00EA2BE2"/>
    <w:rsid w:val="00EA2D40"/>
    <w:rsid w:val="00EA2E06"/>
    <w:rsid w:val="00EA30FF"/>
    <w:rsid w:val="00EA3179"/>
    <w:rsid w:val="00EA318F"/>
    <w:rsid w:val="00EA31CC"/>
    <w:rsid w:val="00EA33A1"/>
    <w:rsid w:val="00EA33DD"/>
    <w:rsid w:val="00EA3856"/>
    <w:rsid w:val="00EA399C"/>
    <w:rsid w:val="00EA3AB5"/>
    <w:rsid w:val="00EA46F4"/>
    <w:rsid w:val="00EA48EF"/>
    <w:rsid w:val="00EA4D0D"/>
    <w:rsid w:val="00EA5977"/>
    <w:rsid w:val="00EA5B5C"/>
    <w:rsid w:val="00EA5D3E"/>
    <w:rsid w:val="00EA5FA0"/>
    <w:rsid w:val="00EA6038"/>
    <w:rsid w:val="00EA6077"/>
    <w:rsid w:val="00EA6705"/>
    <w:rsid w:val="00EA6A3F"/>
    <w:rsid w:val="00EA6F0C"/>
    <w:rsid w:val="00EA7450"/>
    <w:rsid w:val="00EA7634"/>
    <w:rsid w:val="00EA7BC0"/>
    <w:rsid w:val="00EB01AA"/>
    <w:rsid w:val="00EB048F"/>
    <w:rsid w:val="00EB0985"/>
    <w:rsid w:val="00EB0F0F"/>
    <w:rsid w:val="00EB1110"/>
    <w:rsid w:val="00EB16FB"/>
    <w:rsid w:val="00EB1E13"/>
    <w:rsid w:val="00EB2992"/>
    <w:rsid w:val="00EB2CC4"/>
    <w:rsid w:val="00EB33CC"/>
    <w:rsid w:val="00EB3E3E"/>
    <w:rsid w:val="00EB493A"/>
    <w:rsid w:val="00EB4ECD"/>
    <w:rsid w:val="00EB4F86"/>
    <w:rsid w:val="00EB5932"/>
    <w:rsid w:val="00EB5AF5"/>
    <w:rsid w:val="00EB5C7C"/>
    <w:rsid w:val="00EB5CCC"/>
    <w:rsid w:val="00EB5DA0"/>
    <w:rsid w:val="00EB5DBE"/>
    <w:rsid w:val="00EB5E90"/>
    <w:rsid w:val="00EB633D"/>
    <w:rsid w:val="00EB6730"/>
    <w:rsid w:val="00EB6BDA"/>
    <w:rsid w:val="00EB6CC6"/>
    <w:rsid w:val="00EB6D0B"/>
    <w:rsid w:val="00EB75CC"/>
    <w:rsid w:val="00EB7993"/>
    <w:rsid w:val="00EC0364"/>
    <w:rsid w:val="00EC049B"/>
    <w:rsid w:val="00EC0C1E"/>
    <w:rsid w:val="00EC15ED"/>
    <w:rsid w:val="00EC176B"/>
    <w:rsid w:val="00EC33C2"/>
    <w:rsid w:val="00EC388C"/>
    <w:rsid w:val="00EC39F1"/>
    <w:rsid w:val="00EC3E12"/>
    <w:rsid w:val="00EC43F9"/>
    <w:rsid w:val="00EC4781"/>
    <w:rsid w:val="00EC4AD5"/>
    <w:rsid w:val="00EC4BEC"/>
    <w:rsid w:val="00EC582E"/>
    <w:rsid w:val="00EC61FC"/>
    <w:rsid w:val="00EC66A3"/>
    <w:rsid w:val="00EC6953"/>
    <w:rsid w:val="00EC6AFA"/>
    <w:rsid w:val="00EC6C3E"/>
    <w:rsid w:val="00EC6EF4"/>
    <w:rsid w:val="00EC6FC7"/>
    <w:rsid w:val="00EC7115"/>
    <w:rsid w:val="00EC714F"/>
    <w:rsid w:val="00EC72E9"/>
    <w:rsid w:val="00EC78C8"/>
    <w:rsid w:val="00EC79FE"/>
    <w:rsid w:val="00ED012D"/>
    <w:rsid w:val="00ED0766"/>
    <w:rsid w:val="00ED0B99"/>
    <w:rsid w:val="00ED0F14"/>
    <w:rsid w:val="00ED1897"/>
    <w:rsid w:val="00ED2565"/>
    <w:rsid w:val="00ED26C3"/>
    <w:rsid w:val="00ED2BC9"/>
    <w:rsid w:val="00ED2E5D"/>
    <w:rsid w:val="00ED3579"/>
    <w:rsid w:val="00ED3607"/>
    <w:rsid w:val="00ED3C63"/>
    <w:rsid w:val="00ED4260"/>
    <w:rsid w:val="00ED4507"/>
    <w:rsid w:val="00ED47FE"/>
    <w:rsid w:val="00ED4946"/>
    <w:rsid w:val="00ED4AA4"/>
    <w:rsid w:val="00ED4AD7"/>
    <w:rsid w:val="00ED4D7E"/>
    <w:rsid w:val="00ED4F31"/>
    <w:rsid w:val="00ED5CA7"/>
    <w:rsid w:val="00ED5CD6"/>
    <w:rsid w:val="00ED5D3C"/>
    <w:rsid w:val="00ED5FA3"/>
    <w:rsid w:val="00ED63A6"/>
    <w:rsid w:val="00ED676D"/>
    <w:rsid w:val="00ED6E3D"/>
    <w:rsid w:val="00EE041F"/>
    <w:rsid w:val="00EE08D3"/>
    <w:rsid w:val="00EE092F"/>
    <w:rsid w:val="00EE0CDA"/>
    <w:rsid w:val="00EE0D3D"/>
    <w:rsid w:val="00EE133C"/>
    <w:rsid w:val="00EE163D"/>
    <w:rsid w:val="00EE16AC"/>
    <w:rsid w:val="00EE1789"/>
    <w:rsid w:val="00EE1DDB"/>
    <w:rsid w:val="00EE2136"/>
    <w:rsid w:val="00EE213A"/>
    <w:rsid w:val="00EE27A7"/>
    <w:rsid w:val="00EE2C8B"/>
    <w:rsid w:val="00EE33FE"/>
    <w:rsid w:val="00EE374F"/>
    <w:rsid w:val="00EE405B"/>
    <w:rsid w:val="00EE4353"/>
    <w:rsid w:val="00EE4F38"/>
    <w:rsid w:val="00EE5189"/>
    <w:rsid w:val="00EE5260"/>
    <w:rsid w:val="00EE540F"/>
    <w:rsid w:val="00EE58E9"/>
    <w:rsid w:val="00EE5920"/>
    <w:rsid w:val="00EE5980"/>
    <w:rsid w:val="00EE5C5B"/>
    <w:rsid w:val="00EE64D7"/>
    <w:rsid w:val="00EE6E65"/>
    <w:rsid w:val="00EE7005"/>
    <w:rsid w:val="00EE72A3"/>
    <w:rsid w:val="00EE73FD"/>
    <w:rsid w:val="00EE7562"/>
    <w:rsid w:val="00EE7949"/>
    <w:rsid w:val="00EE7DB8"/>
    <w:rsid w:val="00EE7E94"/>
    <w:rsid w:val="00EF0A93"/>
    <w:rsid w:val="00EF1123"/>
    <w:rsid w:val="00EF1528"/>
    <w:rsid w:val="00EF1E03"/>
    <w:rsid w:val="00EF2293"/>
    <w:rsid w:val="00EF2436"/>
    <w:rsid w:val="00EF2B8A"/>
    <w:rsid w:val="00EF3698"/>
    <w:rsid w:val="00EF4192"/>
    <w:rsid w:val="00EF4990"/>
    <w:rsid w:val="00EF49B4"/>
    <w:rsid w:val="00EF4A1B"/>
    <w:rsid w:val="00EF4A93"/>
    <w:rsid w:val="00EF4CA0"/>
    <w:rsid w:val="00EF57D8"/>
    <w:rsid w:val="00EF5875"/>
    <w:rsid w:val="00EF59BC"/>
    <w:rsid w:val="00EF5E8B"/>
    <w:rsid w:val="00EF60D0"/>
    <w:rsid w:val="00EF632B"/>
    <w:rsid w:val="00EF6C31"/>
    <w:rsid w:val="00EF6DBB"/>
    <w:rsid w:val="00EF6DD1"/>
    <w:rsid w:val="00EF6E5A"/>
    <w:rsid w:val="00F01B29"/>
    <w:rsid w:val="00F01D86"/>
    <w:rsid w:val="00F01EDC"/>
    <w:rsid w:val="00F0226B"/>
    <w:rsid w:val="00F02CA4"/>
    <w:rsid w:val="00F0406D"/>
    <w:rsid w:val="00F04A6F"/>
    <w:rsid w:val="00F04A88"/>
    <w:rsid w:val="00F04F8B"/>
    <w:rsid w:val="00F05095"/>
    <w:rsid w:val="00F054D8"/>
    <w:rsid w:val="00F0597E"/>
    <w:rsid w:val="00F05CE8"/>
    <w:rsid w:val="00F05E7D"/>
    <w:rsid w:val="00F07A0F"/>
    <w:rsid w:val="00F07A8E"/>
    <w:rsid w:val="00F07AFE"/>
    <w:rsid w:val="00F07E3E"/>
    <w:rsid w:val="00F103A6"/>
    <w:rsid w:val="00F10CCB"/>
    <w:rsid w:val="00F114BE"/>
    <w:rsid w:val="00F11A28"/>
    <w:rsid w:val="00F11AC9"/>
    <w:rsid w:val="00F126C5"/>
    <w:rsid w:val="00F12772"/>
    <w:rsid w:val="00F12C93"/>
    <w:rsid w:val="00F12E47"/>
    <w:rsid w:val="00F13389"/>
    <w:rsid w:val="00F1341B"/>
    <w:rsid w:val="00F13D7E"/>
    <w:rsid w:val="00F13E8E"/>
    <w:rsid w:val="00F13FD2"/>
    <w:rsid w:val="00F14290"/>
    <w:rsid w:val="00F1443D"/>
    <w:rsid w:val="00F14950"/>
    <w:rsid w:val="00F152B4"/>
    <w:rsid w:val="00F1688D"/>
    <w:rsid w:val="00F16B40"/>
    <w:rsid w:val="00F170EA"/>
    <w:rsid w:val="00F17A3C"/>
    <w:rsid w:val="00F2034D"/>
    <w:rsid w:val="00F2055C"/>
    <w:rsid w:val="00F20729"/>
    <w:rsid w:val="00F21056"/>
    <w:rsid w:val="00F216C0"/>
    <w:rsid w:val="00F219E7"/>
    <w:rsid w:val="00F21E6E"/>
    <w:rsid w:val="00F21EC6"/>
    <w:rsid w:val="00F21F51"/>
    <w:rsid w:val="00F226F0"/>
    <w:rsid w:val="00F22ABD"/>
    <w:rsid w:val="00F22F75"/>
    <w:rsid w:val="00F23BF6"/>
    <w:rsid w:val="00F23C2B"/>
    <w:rsid w:val="00F23CA8"/>
    <w:rsid w:val="00F23FCF"/>
    <w:rsid w:val="00F24490"/>
    <w:rsid w:val="00F24B09"/>
    <w:rsid w:val="00F24B1C"/>
    <w:rsid w:val="00F24D55"/>
    <w:rsid w:val="00F253B9"/>
    <w:rsid w:val="00F25468"/>
    <w:rsid w:val="00F254D3"/>
    <w:rsid w:val="00F25A18"/>
    <w:rsid w:val="00F25A98"/>
    <w:rsid w:val="00F25FD5"/>
    <w:rsid w:val="00F26449"/>
    <w:rsid w:val="00F264D6"/>
    <w:rsid w:val="00F26668"/>
    <w:rsid w:val="00F267B9"/>
    <w:rsid w:val="00F26D8B"/>
    <w:rsid w:val="00F26EA5"/>
    <w:rsid w:val="00F26F9C"/>
    <w:rsid w:val="00F27177"/>
    <w:rsid w:val="00F271B0"/>
    <w:rsid w:val="00F27322"/>
    <w:rsid w:val="00F30384"/>
    <w:rsid w:val="00F30969"/>
    <w:rsid w:val="00F31639"/>
    <w:rsid w:val="00F31665"/>
    <w:rsid w:val="00F3199C"/>
    <w:rsid w:val="00F31B0C"/>
    <w:rsid w:val="00F31D9B"/>
    <w:rsid w:val="00F3209E"/>
    <w:rsid w:val="00F3289A"/>
    <w:rsid w:val="00F32C84"/>
    <w:rsid w:val="00F32CDA"/>
    <w:rsid w:val="00F32D8A"/>
    <w:rsid w:val="00F32E20"/>
    <w:rsid w:val="00F33314"/>
    <w:rsid w:val="00F33EF3"/>
    <w:rsid w:val="00F34084"/>
    <w:rsid w:val="00F34192"/>
    <w:rsid w:val="00F34267"/>
    <w:rsid w:val="00F3458C"/>
    <w:rsid w:val="00F3491F"/>
    <w:rsid w:val="00F35785"/>
    <w:rsid w:val="00F35A28"/>
    <w:rsid w:val="00F35BEC"/>
    <w:rsid w:val="00F35EA7"/>
    <w:rsid w:val="00F361A5"/>
    <w:rsid w:val="00F36EDB"/>
    <w:rsid w:val="00F36F2D"/>
    <w:rsid w:val="00F37238"/>
    <w:rsid w:val="00F37412"/>
    <w:rsid w:val="00F37C9A"/>
    <w:rsid w:val="00F402A0"/>
    <w:rsid w:val="00F40858"/>
    <w:rsid w:val="00F40D8D"/>
    <w:rsid w:val="00F41181"/>
    <w:rsid w:val="00F412B2"/>
    <w:rsid w:val="00F418D4"/>
    <w:rsid w:val="00F4190E"/>
    <w:rsid w:val="00F41D6D"/>
    <w:rsid w:val="00F42425"/>
    <w:rsid w:val="00F42768"/>
    <w:rsid w:val="00F42826"/>
    <w:rsid w:val="00F42AF7"/>
    <w:rsid w:val="00F44556"/>
    <w:rsid w:val="00F4488D"/>
    <w:rsid w:val="00F45041"/>
    <w:rsid w:val="00F455E6"/>
    <w:rsid w:val="00F45B24"/>
    <w:rsid w:val="00F45C9A"/>
    <w:rsid w:val="00F45E36"/>
    <w:rsid w:val="00F46310"/>
    <w:rsid w:val="00F46419"/>
    <w:rsid w:val="00F4669A"/>
    <w:rsid w:val="00F46C02"/>
    <w:rsid w:val="00F4747D"/>
    <w:rsid w:val="00F47A90"/>
    <w:rsid w:val="00F47DA1"/>
    <w:rsid w:val="00F503D2"/>
    <w:rsid w:val="00F5050D"/>
    <w:rsid w:val="00F5070E"/>
    <w:rsid w:val="00F50961"/>
    <w:rsid w:val="00F50A9C"/>
    <w:rsid w:val="00F50DB5"/>
    <w:rsid w:val="00F50E6C"/>
    <w:rsid w:val="00F51042"/>
    <w:rsid w:val="00F51090"/>
    <w:rsid w:val="00F5113D"/>
    <w:rsid w:val="00F5136B"/>
    <w:rsid w:val="00F51E2C"/>
    <w:rsid w:val="00F51F90"/>
    <w:rsid w:val="00F524DF"/>
    <w:rsid w:val="00F5276F"/>
    <w:rsid w:val="00F52947"/>
    <w:rsid w:val="00F52A46"/>
    <w:rsid w:val="00F52EE6"/>
    <w:rsid w:val="00F52F2E"/>
    <w:rsid w:val="00F532E6"/>
    <w:rsid w:val="00F53761"/>
    <w:rsid w:val="00F53F6E"/>
    <w:rsid w:val="00F5418D"/>
    <w:rsid w:val="00F54B0C"/>
    <w:rsid w:val="00F54CBD"/>
    <w:rsid w:val="00F55665"/>
    <w:rsid w:val="00F55C48"/>
    <w:rsid w:val="00F55C4E"/>
    <w:rsid w:val="00F562BB"/>
    <w:rsid w:val="00F5631A"/>
    <w:rsid w:val="00F563EC"/>
    <w:rsid w:val="00F566A7"/>
    <w:rsid w:val="00F567B3"/>
    <w:rsid w:val="00F57726"/>
    <w:rsid w:val="00F578AB"/>
    <w:rsid w:val="00F57976"/>
    <w:rsid w:val="00F600AE"/>
    <w:rsid w:val="00F60161"/>
    <w:rsid w:val="00F60768"/>
    <w:rsid w:val="00F61869"/>
    <w:rsid w:val="00F61C7D"/>
    <w:rsid w:val="00F620B4"/>
    <w:rsid w:val="00F621B1"/>
    <w:rsid w:val="00F6269C"/>
    <w:rsid w:val="00F626EA"/>
    <w:rsid w:val="00F62F50"/>
    <w:rsid w:val="00F6333D"/>
    <w:rsid w:val="00F63351"/>
    <w:rsid w:val="00F6338A"/>
    <w:rsid w:val="00F6395D"/>
    <w:rsid w:val="00F639E3"/>
    <w:rsid w:val="00F63B0A"/>
    <w:rsid w:val="00F63B6A"/>
    <w:rsid w:val="00F64099"/>
    <w:rsid w:val="00F64858"/>
    <w:rsid w:val="00F64A2E"/>
    <w:rsid w:val="00F64F37"/>
    <w:rsid w:val="00F64FA8"/>
    <w:rsid w:val="00F65080"/>
    <w:rsid w:val="00F659CD"/>
    <w:rsid w:val="00F66662"/>
    <w:rsid w:val="00F66970"/>
    <w:rsid w:val="00F66AF5"/>
    <w:rsid w:val="00F67829"/>
    <w:rsid w:val="00F6796C"/>
    <w:rsid w:val="00F67DC3"/>
    <w:rsid w:val="00F70C79"/>
    <w:rsid w:val="00F70E07"/>
    <w:rsid w:val="00F711F0"/>
    <w:rsid w:val="00F71250"/>
    <w:rsid w:val="00F7133B"/>
    <w:rsid w:val="00F71717"/>
    <w:rsid w:val="00F72252"/>
    <w:rsid w:val="00F723FA"/>
    <w:rsid w:val="00F72D97"/>
    <w:rsid w:val="00F72E14"/>
    <w:rsid w:val="00F72F79"/>
    <w:rsid w:val="00F731D5"/>
    <w:rsid w:val="00F7344A"/>
    <w:rsid w:val="00F734A7"/>
    <w:rsid w:val="00F73842"/>
    <w:rsid w:val="00F73FF0"/>
    <w:rsid w:val="00F745B9"/>
    <w:rsid w:val="00F74708"/>
    <w:rsid w:val="00F7539D"/>
    <w:rsid w:val="00F75461"/>
    <w:rsid w:val="00F75684"/>
    <w:rsid w:val="00F75718"/>
    <w:rsid w:val="00F7579E"/>
    <w:rsid w:val="00F759CE"/>
    <w:rsid w:val="00F759F3"/>
    <w:rsid w:val="00F7619A"/>
    <w:rsid w:val="00F76741"/>
    <w:rsid w:val="00F76780"/>
    <w:rsid w:val="00F7739A"/>
    <w:rsid w:val="00F776A8"/>
    <w:rsid w:val="00F77DEF"/>
    <w:rsid w:val="00F77E29"/>
    <w:rsid w:val="00F80484"/>
    <w:rsid w:val="00F8052A"/>
    <w:rsid w:val="00F80A60"/>
    <w:rsid w:val="00F80AEB"/>
    <w:rsid w:val="00F80F69"/>
    <w:rsid w:val="00F81491"/>
    <w:rsid w:val="00F81967"/>
    <w:rsid w:val="00F81ABC"/>
    <w:rsid w:val="00F8238A"/>
    <w:rsid w:val="00F82746"/>
    <w:rsid w:val="00F82946"/>
    <w:rsid w:val="00F82A59"/>
    <w:rsid w:val="00F82FD2"/>
    <w:rsid w:val="00F8302F"/>
    <w:rsid w:val="00F830CA"/>
    <w:rsid w:val="00F8310F"/>
    <w:rsid w:val="00F83390"/>
    <w:rsid w:val="00F83545"/>
    <w:rsid w:val="00F83B26"/>
    <w:rsid w:val="00F83CB3"/>
    <w:rsid w:val="00F8411E"/>
    <w:rsid w:val="00F842A5"/>
    <w:rsid w:val="00F842C3"/>
    <w:rsid w:val="00F84F33"/>
    <w:rsid w:val="00F85582"/>
    <w:rsid w:val="00F86060"/>
    <w:rsid w:val="00F861DC"/>
    <w:rsid w:val="00F86E14"/>
    <w:rsid w:val="00F86EF2"/>
    <w:rsid w:val="00F872D6"/>
    <w:rsid w:val="00F876F7"/>
    <w:rsid w:val="00F877AC"/>
    <w:rsid w:val="00F87D87"/>
    <w:rsid w:val="00F902B4"/>
    <w:rsid w:val="00F902D8"/>
    <w:rsid w:val="00F904F6"/>
    <w:rsid w:val="00F9127E"/>
    <w:rsid w:val="00F917D9"/>
    <w:rsid w:val="00F91DAF"/>
    <w:rsid w:val="00F91F67"/>
    <w:rsid w:val="00F92079"/>
    <w:rsid w:val="00F920AA"/>
    <w:rsid w:val="00F920B9"/>
    <w:rsid w:val="00F923DE"/>
    <w:rsid w:val="00F92EF8"/>
    <w:rsid w:val="00F935A3"/>
    <w:rsid w:val="00F93D62"/>
    <w:rsid w:val="00F94AE2"/>
    <w:rsid w:val="00F94C69"/>
    <w:rsid w:val="00F94C73"/>
    <w:rsid w:val="00F96B53"/>
    <w:rsid w:val="00F970B0"/>
    <w:rsid w:val="00F9741F"/>
    <w:rsid w:val="00F97481"/>
    <w:rsid w:val="00F97EA7"/>
    <w:rsid w:val="00FA0388"/>
    <w:rsid w:val="00FA1330"/>
    <w:rsid w:val="00FA1D64"/>
    <w:rsid w:val="00FA1F31"/>
    <w:rsid w:val="00FA2A98"/>
    <w:rsid w:val="00FA2BDC"/>
    <w:rsid w:val="00FA2D2C"/>
    <w:rsid w:val="00FA2E9E"/>
    <w:rsid w:val="00FA3674"/>
    <w:rsid w:val="00FA3757"/>
    <w:rsid w:val="00FA3D24"/>
    <w:rsid w:val="00FA3E59"/>
    <w:rsid w:val="00FA3F0A"/>
    <w:rsid w:val="00FA3F5E"/>
    <w:rsid w:val="00FA45F5"/>
    <w:rsid w:val="00FA4C19"/>
    <w:rsid w:val="00FA5770"/>
    <w:rsid w:val="00FA5870"/>
    <w:rsid w:val="00FA5E16"/>
    <w:rsid w:val="00FA634B"/>
    <w:rsid w:val="00FA6773"/>
    <w:rsid w:val="00FA69C3"/>
    <w:rsid w:val="00FA7509"/>
    <w:rsid w:val="00FA7EC3"/>
    <w:rsid w:val="00FB00A4"/>
    <w:rsid w:val="00FB0B8B"/>
    <w:rsid w:val="00FB0D05"/>
    <w:rsid w:val="00FB0F9A"/>
    <w:rsid w:val="00FB169F"/>
    <w:rsid w:val="00FB1DA6"/>
    <w:rsid w:val="00FB2866"/>
    <w:rsid w:val="00FB2E1C"/>
    <w:rsid w:val="00FB2EF1"/>
    <w:rsid w:val="00FB30F3"/>
    <w:rsid w:val="00FB359F"/>
    <w:rsid w:val="00FB389B"/>
    <w:rsid w:val="00FB3B4A"/>
    <w:rsid w:val="00FB418C"/>
    <w:rsid w:val="00FB41B6"/>
    <w:rsid w:val="00FB4681"/>
    <w:rsid w:val="00FB4682"/>
    <w:rsid w:val="00FB484B"/>
    <w:rsid w:val="00FB4870"/>
    <w:rsid w:val="00FB4D98"/>
    <w:rsid w:val="00FB4E60"/>
    <w:rsid w:val="00FB4F5E"/>
    <w:rsid w:val="00FB4FC0"/>
    <w:rsid w:val="00FB525F"/>
    <w:rsid w:val="00FB56F0"/>
    <w:rsid w:val="00FB57EE"/>
    <w:rsid w:val="00FB5D4F"/>
    <w:rsid w:val="00FB61F1"/>
    <w:rsid w:val="00FB69D5"/>
    <w:rsid w:val="00FB6CD6"/>
    <w:rsid w:val="00FB7120"/>
    <w:rsid w:val="00FB75B9"/>
    <w:rsid w:val="00FC102C"/>
    <w:rsid w:val="00FC11A7"/>
    <w:rsid w:val="00FC11ED"/>
    <w:rsid w:val="00FC144B"/>
    <w:rsid w:val="00FC1678"/>
    <w:rsid w:val="00FC1B7F"/>
    <w:rsid w:val="00FC2775"/>
    <w:rsid w:val="00FC3189"/>
    <w:rsid w:val="00FC344A"/>
    <w:rsid w:val="00FC3495"/>
    <w:rsid w:val="00FC36BD"/>
    <w:rsid w:val="00FC3C2D"/>
    <w:rsid w:val="00FC42F1"/>
    <w:rsid w:val="00FC48C2"/>
    <w:rsid w:val="00FC48E3"/>
    <w:rsid w:val="00FC4B8E"/>
    <w:rsid w:val="00FC5183"/>
    <w:rsid w:val="00FC5270"/>
    <w:rsid w:val="00FC5388"/>
    <w:rsid w:val="00FC5472"/>
    <w:rsid w:val="00FC5514"/>
    <w:rsid w:val="00FC5555"/>
    <w:rsid w:val="00FC59D9"/>
    <w:rsid w:val="00FC60BD"/>
    <w:rsid w:val="00FC64DB"/>
    <w:rsid w:val="00FC6C8A"/>
    <w:rsid w:val="00FC7D18"/>
    <w:rsid w:val="00FD0663"/>
    <w:rsid w:val="00FD075A"/>
    <w:rsid w:val="00FD0BE0"/>
    <w:rsid w:val="00FD0F9E"/>
    <w:rsid w:val="00FD0FD8"/>
    <w:rsid w:val="00FD178E"/>
    <w:rsid w:val="00FD1848"/>
    <w:rsid w:val="00FD2421"/>
    <w:rsid w:val="00FD2601"/>
    <w:rsid w:val="00FD26C4"/>
    <w:rsid w:val="00FD2779"/>
    <w:rsid w:val="00FD2D17"/>
    <w:rsid w:val="00FD37FB"/>
    <w:rsid w:val="00FD38B1"/>
    <w:rsid w:val="00FD3D7C"/>
    <w:rsid w:val="00FD3DD2"/>
    <w:rsid w:val="00FD4224"/>
    <w:rsid w:val="00FD477C"/>
    <w:rsid w:val="00FD49D7"/>
    <w:rsid w:val="00FD4D31"/>
    <w:rsid w:val="00FD4DD4"/>
    <w:rsid w:val="00FD57F6"/>
    <w:rsid w:val="00FD5932"/>
    <w:rsid w:val="00FD5AE8"/>
    <w:rsid w:val="00FD5C27"/>
    <w:rsid w:val="00FD6331"/>
    <w:rsid w:val="00FD64BE"/>
    <w:rsid w:val="00FD6BA4"/>
    <w:rsid w:val="00FD6BEA"/>
    <w:rsid w:val="00FD6DC2"/>
    <w:rsid w:val="00FD6FA8"/>
    <w:rsid w:val="00FD792F"/>
    <w:rsid w:val="00FD7F01"/>
    <w:rsid w:val="00FD7F17"/>
    <w:rsid w:val="00FE0195"/>
    <w:rsid w:val="00FE0525"/>
    <w:rsid w:val="00FE074F"/>
    <w:rsid w:val="00FE0C6B"/>
    <w:rsid w:val="00FE112F"/>
    <w:rsid w:val="00FE12BD"/>
    <w:rsid w:val="00FE148C"/>
    <w:rsid w:val="00FE14DB"/>
    <w:rsid w:val="00FE1682"/>
    <w:rsid w:val="00FE1833"/>
    <w:rsid w:val="00FE1B1E"/>
    <w:rsid w:val="00FE2AC3"/>
    <w:rsid w:val="00FE2ADA"/>
    <w:rsid w:val="00FE2B6E"/>
    <w:rsid w:val="00FE3258"/>
    <w:rsid w:val="00FE3758"/>
    <w:rsid w:val="00FE3B85"/>
    <w:rsid w:val="00FE4887"/>
    <w:rsid w:val="00FE4C00"/>
    <w:rsid w:val="00FE5DB1"/>
    <w:rsid w:val="00FE64E3"/>
    <w:rsid w:val="00FE6671"/>
    <w:rsid w:val="00FE6D17"/>
    <w:rsid w:val="00FF01CF"/>
    <w:rsid w:val="00FF0283"/>
    <w:rsid w:val="00FF03FD"/>
    <w:rsid w:val="00FF09D8"/>
    <w:rsid w:val="00FF0A38"/>
    <w:rsid w:val="00FF0B7C"/>
    <w:rsid w:val="00FF0D6A"/>
    <w:rsid w:val="00FF0DBB"/>
    <w:rsid w:val="00FF199D"/>
    <w:rsid w:val="00FF2660"/>
    <w:rsid w:val="00FF2754"/>
    <w:rsid w:val="00FF2DDF"/>
    <w:rsid w:val="00FF322C"/>
    <w:rsid w:val="00FF33A1"/>
    <w:rsid w:val="00FF39AC"/>
    <w:rsid w:val="00FF3D66"/>
    <w:rsid w:val="00FF4996"/>
    <w:rsid w:val="00FF51B0"/>
    <w:rsid w:val="00FF53A4"/>
    <w:rsid w:val="00FF5769"/>
    <w:rsid w:val="00FF5A9B"/>
    <w:rsid w:val="00FF6138"/>
    <w:rsid w:val="00FF6943"/>
    <w:rsid w:val="00FF6A46"/>
    <w:rsid w:val="00FF7D9C"/>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E82C0A7"/>
  <w15:docId w15:val="{CBA71985-2749-4CC6-B29C-E867E731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8A"/>
    <w:pPr>
      <w:ind w:firstLine="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2931"/>
    <w:pPr>
      <w:spacing w:after="60"/>
      <w:jc w:val="both"/>
    </w:pPr>
    <w:rPr>
      <w:sz w:val="20"/>
      <w:szCs w:val="20"/>
    </w:rPr>
  </w:style>
  <w:style w:type="character" w:customStyle="1" w:styleId="FootnoteTextChar">
    <w:name w:val="Footnote Text Char"/>
    <w:basedOn w:val="DefaultParagraphFont"/>
    <w:link w:val="FootnoteText"/>
    <w:uiPriority w:val="99"/>
    <w:rsid w:val="00252931"/>
    <w:rPr>
      <w:sz w:val="20"/>
      <w:szCs w:val="20"/>
    </w:rPr>
  </w:style>
  <w:style w:type="character" w:styleId="FootnoteReference">
    <w:name w:val="footnote reference"/>
    <w:basedOn w:val="DefaultParagraphFont"/>
    <w:unhideWhenUsed/>
    <w:rsid w:val="002A708A"/>
    <w:rPr>
      <w:vertAlign w:val="superscript"/>
    </w:rPr>
  </w:style>
  <w:style w:type="paragraph" w:styleId="Header">
    <w:name w:val="header"/>
    <w:basedOn w:val="Normal"/>
    <w:link w:val="HeaderChar"/>
    <w:uiPriority w:val="99"/>
    <w:unhideWhenUsed/>
    <w:rsid w:val="002A708A"/>
    <w:pPr>
      <w:tabs>
        <w:tab w:val="center" w:pos="4680"/>
        <w:tab w:val="right" w:pos="9360"/>
      </w:tabs>
      <w:spacing w:after="0"/>
    </w:pPr>
  </w:style>
  <w:style w:type="character" w:customStyle="1" w:styleId="HeaderChar">
    <w:name w:val="Header Char"/>
    <w:basedOn w:val="DefaultParagraphFont"/>
    <w:link w:val="Header"/>
    <w:uiPriority w:val="99"/>
    <w:rsid w:val="002A708A"/>
  </w:style>
  <w:style w:type="paragraph" w:styleId="Footer">
    <w:name w:val="footer"/>
    <w:basedOn w:val="Normal"/>
    <w:link w:val="FooterChar"/>
    <w:uiPriority w:val="99"/>
    <w:unhideWhenUsed/>
    <w:rsid w:val="002A708A"/>
    <w:pPr>
      <w:tabs>
        <w:tab w:val="center" w:pos="4680"/>
        <w:tab w:val="right" w:pos="9360"/>
      </w:tabs>
      <w:spacing w:after="0"/>
    </w:pPr>
  </w:style>
  <w:style w:type="character" w:customStyle="1" w:styleId="FooterChar">
    <w:name w:val="Footer Char"/>
    <w:basedOn w:val="DefaultParagraphFont"/>
    <w:link w:val="Footer"/>
    <w:uiPriority w:val="99"/>
    <w:rsid w:val="002A708A"/>
  </w:style>
  <w:style w:type="table" w:styleId="TableGrid">
    <w:name w:val="Table Grid"/>
    <w:basedOn w:val="TableNormal"/>
    <w:uiPriority w:val="59"/>
    <w:rsid w:val="00A37B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B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F1"/>
    <w:rPr>
      <w:rFonts w:ascii="Tahoma" w:hAnsi="Tahoma" w:cs="Tahoma"/>
      <w:sz w:val="16"/>
      <w:szCs w:val="16"/>
    </w:rPr>
  </w:style>
  <w:style w:type="character" w:styleId="Hyperlink">
    <w:name w:val="Hyperlink"/>
    <w:basedOn w:val="DefaultParagraphFont"/>
    <w:uiPriority w:val="99"/>
    <w:unhideWhenUsed/>
    <w:rsid w:val="008D7673"/>
    <w:rPr>
      <w:color w:val="0000FF" w:themeColor="hyperlink"/>
      <w:u w:val="single"/>
    </w:rPr>
  </w:style>
  <w:style w:type="paragraph" w:styleId="EndnoteText">
    <w:name w:val="endnote text"/>
    <w:basedOn w:val="Normal"/>
    <w:link w:val="EndnoteTextChar"/>
    <w:uiPriority w:val="99"/>
    <w:semiHidden/>
    <w:unhideWhenUsed/>
    <w:rsid w:val="00B76806"/>
    <w:pPr>
      <w:spacing w:after="0"/>
    </w:pPr>
    <w:rPr>
      <w:sz w:val="20"/>
      <w:szCs w:val="20"/>
    </w:rPr>
  </w:style>
  <w:style w:type="character" w:customStyle="1" w:styleId="EndnoteTextChar">
    <w:name w:val="Endnote Text Char"/>
    <w:basedOn w:val="DefaultParagraphFont"/>
    <w:link w:val="EndnoteText"/>
    <w:uiPriority w:val="99"/>
    <w:semiHidden/>
    <w:rsid w:val="00B76806"/>
    <w:rPr>
      <w:sz w:val="20"/>
      <w:szCs w:val="20"/>
    </w:rPr>
  </w:style>
  <w:style w:type="character" w:styleId="EndnoteReference">
    <w:name w:val="endnote reference"/>
    <w:basedOn w:val="DefaultParagraphFont"/>
    <w:uiPriority w:val="99"/>
    <w:semiHidden/>
    <w:unhideWhenUsed/>
    <w:rsid w:val="00B76806"/>
    <w:rPr>
      <w:vertAlign w:val="superscript"/>
    </w:rPr>
  </w:style>
  <w:style w:type="paragraph" w:styleId="ListParagraph">
    <w:name w:val="List Paragraph"/>
    <w:basedOn w:val="Normal"/>
    <w:uiPriority w:val="34"/>
    <w:qFormat/>
    <w:rsid w:val="00C45A50"/>
    <w:pPr>
      <w:ind w:left="720"/>
    </w:pPr>
  </w:style>
  <w:style w:type="character" w:styleId="FollowedHyperlink">
    <w:name w:val="FollowedHyperlink"/>
    <w:basedOn w:val="DefaultParagraphFont"/>
    <w:uiPriority w:val="99"/>
    <w:semiHidden/>
    <w:unhideWhenUsed/>
    <w:rsid w:val="001D4B80"/>
    <w:rPr>
      <w:color w:val="800080" w:themeColor="followedHyperlink"/>
      <w:u w:val="single"/>
    </w:rPr>
  </w:style>
  <w:style w:type="paragraph" w:styleId="BodyText">
    <w:name w:val="Body Text"/>
    <w:basedOn w:val="Normal"/>
    <w:link w:val="BodyTextChar"/>
    <w:rsid w:val="00C841EB"/>
    <w:pPr>
      <w:ind w:firstLine="720"/>
    </w:pPr>
    <w:rPr>
      <w:rFonts w:eastAsia="SimSun" w:cs="Times New Roman"/>
      <w:szCs w:val="20"/>
      <w:lang w:eastAsia="zh-CN"/>
    </w:rPr>
  </w:style>
  <w:style w:type="character" w:customStyle="1" w:styleId="BodyTextChar">
    <w:name w:val="Body Text Char"/>
    <w:basedOn w:val="DefaultParagraphFont"/>
    <w:link w:val="BodyText"/>
    <w:rsid w:val="00C841EB"/>
    <w:rPr>
      <w:rFonts w:eastAsia="SimSun" w:cs="Times New Roman"/>
      <w:szCs w:val="20"/>
      <w:lang w:eastAsia="zh-CN"/>
    </w:rPr>
  </w:style>
  <w:style w:type="paragraph" w:customStyle="1" w:styleId="GLJFootnote">
    <w:name w:val="GLJ Footnote"/>
    <w:basedOn w:val="FootnoteText"/>
    <w:rsid w:val="009F4B22"/>
    <w:pPr>
      <w:tabs>
        <w:tab w:val="left" w:pos="432"/>
      </w:tabs>
      <w:spacing w:before="240" w:after="0"/>
      <w:ind w:firstLine="0"/>
      <w:jc w:val="left"/>
    </w:pPr>
    <w:rPr>
      <w:rFonts w:eastAsia="Times New Roman" w:cs="Times New Roman"/>
    </w:rPr>
  </w:style>
  <w:style w:type="character" w:styleId="Emphasis">
    <w:name w:val="Emphasis"/>
    <w:basedOn w:val="DefaultParagraphFont"/>
    <w:uiPriority w:val="20"/>
    <w:qFormat/>
    <w:rsid w:val="00E4699C"/>
    <w:rPr>
      <w:i/>
      <w:iCs/>
    </w:rPr>
  </w:style>
  <w:style w:type="character" w:styleId="CommentReference">
    <w:name w:val="annotation reference"/>
    <w:basedOn w:val="DefaultParagraphFont"/>
    <w:uiPriority w:val="99"/>
    <w:semiHidden/>
    <w:unhideWhenUsed/>
    <w:rsid w:val="00152D07"/>
    <w:rPr>
      <w:sz w:val="16"/>
      <w:szCs w:val="16"/>
    </w:rPr>
  </w:style>
  <w:style w:type="paragraph" w:styleId="CommentText">
    <w:name w:val="annotation text"/>
    <w:basedOn w:val="Normal"/>
    <w:link w:val="CommentTextChar"/>
    <w:uiPriority w:val="99"/>
    <w:semiHidden/>
    <w:unhideWhenUsed/>
    <w:rsid w:val="00152D07"/>
    <w:rPr>
      <w:sz w:val="20"/>
      <w:szCs w:val="20"/>
    </w:rPr>
  </w:style>
  <w:style w:type="character" w:customStyle="1" w:styleId="CommentTextChar">
    <w:name w:val="Comment Text Char"/>
    <w:basedOn w:val="DefaultParagraphFont"/>
    <w:link w:val="CommentText"/>
    <w:uiPriority w:val="99"/>
    <w:semiHidden/>
    <w:rsid w:val="00152D07"/>
    <w:rPr>
      <w:sz w:val="20"/>
      <w:szCs w:val="20"/>
    </w:rPr>
  </w:style>
  <w:style w:type="paragraph" w:styleId="CommentSubject">
    <w:name w:val="annotation subject"/>
    <w:basedOn w:val="CommentText"/>
    <w:next w:val="CommentText"/>
    <w:link w:val="CommentSubjectChar"/>
    <w:uiPriority w:val="99"/>
    <w:semiHidden/>
    <w:unhideWhenUsed/>
    <w:rsid w:val="00152D07"/>
    <w:rPr>
      <w:b/>
      <w:bCs/>
    </w:rPr>
  </w:style>
  <w:style w:type="character" w:customStyle="1" w:styleId="CommentSubjectChar">
    <w:name w:val="Comment Subject Char"/>
    <w:basedOn w:val="CommentTextChar"/>
    <w:link w:val="CommentSubject"/>
    <w:uiPriority w:val="99"/>
    <w:semiHidden/>
    <w:rsid w:val="00152D07"/>
    <w:rPr>
      <w:b/>
      <w:bCs/>
      <w:sz w:val="20"/>
      <w:szCs w:val="20"/>
    </w:rPr>
  </w:style>
  <w:style w:type="character" w:styleId="Strong">
    <w:name w:val="Strong"/>
    <w:basedOn w:val="DefaultParagraphFont"/>
    <w:uiPriority w:val="22"/>
    <w:qFormat/>
    <w:rsid w:val="00335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8510">
      <w:bodyDiv w:val="1"/>
      <w:marLeft w:val="0"/>
      <w:marRight w:val="0"/>
      <w:marTop w:val="0"/>
      <w:marBottom w:val="0"/>
      <w:divBdr>
        <w:top w:val="none" w:sz="0" w:space="0" w:color="auto"/>
        <w:left w:val="none" w:sz="0" w:space="0" w:color="auto"/>
        <w:bottom w:val="none" w:sz="0" w:space="0" w:color="auto"/>
        <w:right w:val="none" w:sz="0" w:space="0" w:color="auto"/>
      </w:divBdr>
    </w:div>
    <w:div w:id="39673340">
      <w:bodyDiv w:val="1"/>
      <w:marLeft w:val="0"/>
      <w:marRight w:val="0"/>
      <w:marTop w:val="0"/>
      <w:marBottom w:val="0"/>
      <w:divBdr>
        <w:top w:val="none" w:sz="0" w:space="0" w:color="auto"/>
        <w:left w:val="none" w:sz="0" w:space="0" w:color="auto"/>
        <w:bottom w:val="none" w:sz="0" w:space="0" w:color="auto"/>
        <w:right w:val="none" w:sz="0" w:space="0" w:color="auto"/>
      </w:divBdr>
      <w:divsChild>
        <w:div w:id="310908082">
          <w:marLeft w:val="0"/>
          <w:marRight w:val="0"/>
          <w:marTop w:val="0"/>
          <w:marBottom w:val="0"/>
          <w:divBdr>
            <w:top w:val="none" w:sz="0" w:space="0" w:color="auto"/>
            <w:left w:val="none" w:sz="0" w:space="0" w:color="auto"/>
            <w:bottom w:val="none" w:sz="0" w:space="0" w:color="auto"/>
            <w:right w:val="none" w:sz="0" w:space="0" w:color="auto"/>
          </w:divBdr>
          <w:divsChild>
            <w:div w:id="1914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4386">
      <w:bodyDiv w:val="1"/>
      <w:marLeft w:val="0"/>
      <w:marRight w:val="0"/>
      <w:marTop w:val="0"/>
      <w:marBottom w:val="0"/>
      <w:divBdr>
        <w:top w:val="none" w:sz="0" w:space="0" w:color="auto"/>
        <w:left w:val="none" w:sz="0" w:space="0" w:color="auto"/>
        <w:bottom w:val="none" w:sz="0" w:space="0" w:color="auto"/>
        <w:right w:val="none" w:sz="0" w:space="0" w:color="auto"/>
      </w:divBdr>
      <w:divsChild>
        <w:div w:id="1790121375">
          <w:marLeft w:val="0"/>
          <w:marRight w:val="0"/>
          <w:marTop w:val="0"/>
          <w:marBottom w:val="0"/>
          <w:divBdr>
            <w:top w:val="none" w:sz="0" w:space="0" w:color="auto"/>
            <w:left w:val="none" w:sz="0" w:space="0" w:color="auto"/>
            <w:bottom w:val="none" w:sz="0" w:space="0" w:color="auto"/>
            <w:right w:val="none" w:sz="0" w:space="0" w:color="auto"/>
          </w:divBdr>
          <w:divsChild>
            <w:div w:id="8527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3604">
      <w:bodyDiv w:val="1"/>
      <w:marLeft w:val="0"/>
      <w:marRight w:val="0"/>
      <w:marTop w:val="0"/>
      <w:marBottom w:val="0"/>
      <w:divBdr>
        <w:top w:val="none" w:sz="0" w:space="0" w:color="auto"/>
        <w:left w:val="none" w:sz="0" w:space="0" w:color="auto"/>
        <w:bottom w:val="none" w:sz="0" w:space="0" w:color="auto"/>
        <w:right w:val="none" w:sz="0" w:space="0" w:color="auto"/>
      </w:divBdr>
      <w:divsChild>
        <w:div w:id="2129470563">
          <w:marLeft w:val="0"/>
          <w:marRight w:val="0"/>
          <w:marTop w:val="0"/>
          <w:marBottom w:val="0"/>
          <w:divBdr>
            <w:top w:val="none" w:sz="0" w:space="0" w:color="auto"/>
            <w:left w:val="none" w:sz="0" w:space="0" w:color="auto"/>
            <w:bottom w:val="none" w:sz="0" w:space="0" w:color="auto"/>
            <w:right w:val="none" w:sz="0" w:space="0" w:color="auto"/>
          </w:divBdr>
          <w:divsChild>
            <w:div w:id="1695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707">
      <w:bodyDiv w:val="1"/>
      <w:marLeft w:val="0"/>
      <w:marRight w:val="0"/>
      <w:marTop w:val="0"/>
      <w:marBottom w:val="0"/>
      <w:divBdr>
        <w:top w:val="none" w:sz="0" w:space="0" w:color="auto"/>
        <w:left w:val="none" w:sz="0" w:space="0" w:color="auto"/>
        <w:bottom w:val="none" w:sz="0" w:space="0" w:color="auto"/>
        <w:right w:val="none" w:sz="0" w:space="0" w:color="auto"/>
      </w:divBdr>
      <w:divsChild>
        <w:div w:id="1213926798">
          <w:marLeft w:val="0"/>
          <w:marRight w:val="0"/>
          <w:marTop w:val="0"/>
          <w:marBottom w:val="0"/>
          <w:divBdr>
            <w:top w:val="none" w:sz="0" w:space="0" w:color="auto"/>
            <w:left w:val="none" w:sz="0" w:space="0" w:color="auto"/>
            <w:bottom w:val="none" w:sz="0" w:space="0" w:color="auto"/>
            <w:right w:val="none" w:sz="0" w:space="0" w:color="auto"/>
          </w:divBdr>
          <w:divsChild>
            <w:div w:id="20857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2832">
      <w:bodyDiv w:val="1"/>
      <w:marLeft w:val="0"/>
      <w:marRight w:val="0"/>
      <w:marTop w:val="0"/>
      <w:marBottom w:val="0"/>
      <w:divBdr>
        <w:top w:val="none" w:sz="0" w:space="0" w:color="auto"/>
        <w:left w:val="none" w:sz="0" w:space="0" w:color="auto"/>
        <w:bottom w:val="none" w:sz="0" w:space="0" w:color="auto"/>
        <w:right w:val="none" w:sz="0" w:space="0" w:color="auto"/>
      </w:divBdr>
      <w:divsChild>
        <w:div w:id="1539972919">
          <w:marLeft w:val="0"/>
          <w:marRight w:val="0"/>
          <w:marTop w:val="0"/>
          <w:marBottom w:val="0"/>
          <w:divBdr>
            <w:top w:val="none" w:sz="0" w:space="0" w:color="auto"/>
            <w:left w:val="none" w:sz="0" w:space="0" w:color="auto"/>
            <w:bottom w:val="none" w:sz="0" w:space="0" w:color="auto"/>
            <w:right w:val="none" w:sz="0" w:space="0" w:color="auto"/>
          </w:divBdr>
          <w:divsChild>
            <w:div w:id="12252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5446">
      <w:bodyDiv w:val="1"/>
      <w:marLeft w:val="0"/>
      <w:marRight w:val="0"/>
      <w:marTop w:val="0"/>
      <w:marBottom w:val="0"/>
      <w:divBdr>
        <w:top w:val="none" w:sz="0" w:space="0" w:color="auto"/>
        <w:left w:val="none" w:sz="0" w:space="0" w:color="auto"/>
        <w:bottom w:val="none" w:sz="0" w:space="0" w:color="auto"/>
        <w:right w:val="none" w:sz="0" w:space="0" w:color="auto"/>
      </w:divBdr>
      <w:divsChild>
        <w:div w:id="873736629">
          <w:marLeft w:val="0"/>
          <w:marRight w:val="0"/>
          <w:marTop w:val="0"/>
          <w:marBottom w:val="0"/>
          <w:divBdr>
            <w:top w:val="none" w:sz="0" w:space="0" w:color="auto"/>
            <w:left w:val="none" w:sz="0" w:space="0" w:color="auto"/>
            <w:bottom w:val="none" w:sz="0" w:space="0" w:color="auto"/>
            <w:right w:val="none" w:sz="0" w:space="0" w:color="auto"/>
          </w:divBdr>
          <w:divsChild>
            <w:div w:id="18046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9665">
      <w:bodyDiv w:val="1"/>
      <w:marLeft w:val="0"/>
      <w:marRight w:val="0"/>
      <w:marTop w:val="0"/>
      <w:marBottom w:val="0"/>
      <w:divBdr>
        <w:top w:val="none" w:sz="0" w:space="0" w:color="auto"/>
        <w:left w:val="none" w:sz="0" w:space="0" w:color="auto"/>
        <w:bottom w:val="none" w:sz="0" w:space="0" w:color="auto"/>
        <w:right w:val="none" w:sz="0" w:space="0" w:color="auto"/>
      </w:divBdr>
      <w:divsChild>
        <w:div w:id="955991028">
          <w:marLeft w:val="0"/>
          <w:marRight w:val="0"/>
          <w:marTop w:val="0"/>
          <w:marBottom w:val="0"/>
          <w:divBdr>
            <w:top w:val="none" w:sz="0" w:space="0" w:color="auto"/>
            <w:left w:val="none" w:sz="0" w:space="0" w:color="auto"/>
            <w:bottom w:val="none" w:sz="0" w:space="0" w:color="auto"/>
            <w:right w:val="none" w:sz="0" w:space="0" w:color="auto"/>
          </w:divBdr>
          <w:divsChild>
            <w:div w:id="947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8040">
      <w:bodyDiv w:val="1"/>
      <w:marLeft w:val="0"/>
      <w:marRight w:val="0"/>
      <w:marTop w:val="0"/>
      <w:marBottom w:val="0"/>
      <w:divBdr>
        <w:top w:val="none" w:sz="0" w:space="0" w:color="auto"/>
        <w:left w:val="none" w:sz="0" w:space="0" w:color="auto"/>
        <w:bottom w:val="none" w:sz="0" w:space="0" w:color="auto"/>
        <w:right w:val="none" w:sz="0" w:space="0" w:color="auto"/>
      </w:divBdr>
      <w:divsChild>
        <w:div w:id="849216352">
          <w:marLeft w:val="0"/>
          <w:marRight w:val="0"/>
          <w:marTop w:val="0"/>
          <w:marBottom w:val="0"/>
          <w:divBdr>
            <w:top w:val="none" w:sz="0" w:space="0" w:color="auto"/>
            <w:left w:val="none" w:sz="0" w:space="0" w:color="auto"/>
            <w:bottom w:val="none" w:sz="0" w:space="0" w:color="auto"/>
            <w:right w:val="none" w:sz="0" w:space="0" w:color="auto"/>
          </w:divBdr>
          <w:divsChild>
            <w:div w:id="2265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565">
      <w:bodyDiv w:val="1"/>
      <w:marLeft w:val="0"/>
      <w:marRight w:val="0"/>
      <w:marTop w:val="0"/>
      <w:marBottom w:val="0"/>
      <w:divBdr>
        <w:top w:val="none" w:sz="0" w:space="0" w:color="auto"/>
        <w:left w:val="none" w:sz="0" w:space="0" w:color="auto"/>
        <w:bottom w:val="none" w:sz="0" w:space="0" w:color="auto"/>
        <w:right w:val="none" w:sz="0" w:space="0" w:color="auto"/>
      </w:divBdr>
      <w:divsChild>
        <w:div w:id="1607033650">
          <w:marLeft w:val="0"/>
          <w:marRight w:val="0"/>
          <w:marTop w:val="0"/>
          <w:marBottom w:val="0"/>
          <w:divBdr>
            <w:top w:val="none" w:sz="0" w:space="0" w:color="auto"/>
            <w:left w:val="none" w:sz="0" w:space="0" w:color="auto"/>
            <w:bottom w:val="none" w:sz="0" w:space="0" w:color="auto"/>
            <w:right w:val="none" w:sz="0" w:space="0" w:color="auto"/>
          </w:divBdr>
          <w:divsChild>
            <w:div w:id="19904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7973">
      <w:bodyDiv w:val="1"/>
      <w:marLeft w:val="0"/>
      <w:marRight w:val="0"/>
      <w:marTop w:val="0"/>
      <w:marBottom w:val="0"/>
      <w:divBdr>
        <w:top w:val="none" w:sz="0" w:space="0" w:color="auto"/>
        <w:left w:val="none" w:sz="0" w:space="0" w:color="auto"/>
        <w:bottom w:val="none" w:sz="0" w:space="0" w:color="auto"/>
        <w:right w:val="none" w:sz="0" w:space="0" w:color="auto"/>
      </w:divBdr>
      <w:divsChild>
        <w:div w:id="1062099267">
          <w:marLeft w:val="0"/>
          <w:marRight w:val="0"/>
          <w:marTop w:val="0"/>
          <w:marBottom w:val="0"/>
          <w:divBdr>
            <w:top w:val="none" w:sz="0" w:space="0" w:color="auto"/>
            <w:left w:val="none" w:sz="0" w:space="0" w:color="auto"/>
            <w:bottom w:val="none" w:sz="0" w:space="0" w:color="auto"/>
            <w:right w:val="none" w:sz="0" w:space="0" w:color="auto"/>
          </w:divBdr>
          <w:divsChild>
            <w:div w:id="1417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5458">
      <w:bodyDiv w:val="1"/>
      <w:marLeft w:val="0"/>
      <w:marRight w:val="0"/>
      <w:marTop w:val="0"/>
      <w:marBottom w:val="0"/>
      <w:divBdr>
        <w:top w:val="none" w:sz="0" w:space="0" w:color="auto"/>
        <w:left w:val="none" w:sz="0" w:space="0" w:color="auto"/>
        <w:bottom w:val="none" w:sz="0" w:space="0" w:color="auto"/>
        <w:right w:val="none" w:sz="0" w:space="0" w:color="auto"/>
      </w:divBdr>
      <w:divsChild>
        <w:div w:id="1932007432">
          <w:marLeft w:val="0"/>
          <w:marRight w:val="0"/>
          <w:marTop w:val="0"/>
          <w:marBottom w:val="0"/>
          <w:divBdr>
            <w:top w:val="none" w:sz="0" w:space="0" w:color="auto"/>
            <w:left w:val="none" w:sz="0" w:space="0" w:color="auto"/>
            <w:bottom w:val="none" w:sz="0" w:space="0" w:color="auto"/>
            <w:right w:val="none" w:sz="0" w:space="0" w:color="auto"/>
          </w:divBdr>
          <w:divsChild>
            <w:div w:id="16059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8158">
      <w:bodyDiv w:val="1"/>
      <w:marLeft w:val="0"/>
      <w:marRight w:val="0"/>
      <w:marTop w:val="0"/>
      <w:marBottom w:val="0"/>
      <w:divBdr>
        <w:top w:val="none" w:sz="0" w:space="0" w:color="auto"/>
        <w:left w:val="none" w:sz="0" w:space="0" w:color="auto"/>
        <w:bottom w:val="none" w:sz="0" w:space="0" w:color="auto"/>
        <w:right w:val="none" w:sz="0" w:space="0" w:color="auto"/>
      </w:divBdr>
      <w:divsChild>
        <w:div w:id="1732269456">
          <w:marLeft w:val="0"/>
          <w:marRight w:val="0"/>
          <w:marTop w:val="0"/>
          <w:marBottom w:val="0"/>
          <w:divBdr>
            <w:top w:val="none" w:sz="0" w:space="0" w:color="auto"/>
            <w:left w:val="none" w:sz="0" w:space="0" w:color="auto"/>
            <w:bottom w:val="none" w:sz="0" w:space="0" w:color="auto"/>
            <w:right w:val="none" w:sz="0" w:space="0" w:color="auto"/>
          </w:divBdr>
          <w:divsChild>
            <w:div w:id="11688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271">
      <w:bodyDiv w:val="1"/>
      <w:marLeft w:val="0"/>
      <w:marRight w:val="0"/>
      <w:marTop w:val="0"/>
      <w:marBottom w:val="0"/>
      <w:divBdr>
        <w:top w:val="none" w:sz="0" w:space="0" w:color="auto"/>
        <w:left w:val="none" w:sz="0" w:space="0" w:color="auto"/>
        <w:bottom w:val="none" w:sz="0" w:space="0" w:color="auto"/>
        <w:right w:val="none" w:sz="0" w:space="0" w:color="auto"/>
      </w:divBdr>
      <w:divsChild>
        <w:div w:id="626160502">
          <w:marLeft w:val="0"/>
          <w:marRight w:val="0"/>
          <w:marTop w:val="0"/>
          <w:marBottom w:val="0"/>
          <w:divBdr>
            <w:top w:val="none" w:sz="0" w:space="0" w:color="auto"/>
            <w:left w:val="none" w:sz="0" w:space="0" w:color="auto"/>
            <w:bottom w:val="none" w:sz="0" w:space="0" w:color="auto"/>
            <w:right w:val="none" w:sz="0" w:space="0" w:color="auto"/>
          </w:divBdr>
          <w:divsChild>
            <w:div w:id="7245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6901">
      <w:bodyDiv w:val="1"/>
      <w:marLeft w:val="0"/>
      <w:marRight w:val="0"/>
      <w:marTop w:val="0"/>
      <w:marBottom w:val="0"/>
      <w:divBdr>
        <w:top w:val="none" w:sz="0" w:space="0" w:color="auto"/>
        <w:left w:val="none" w:sz="0" w:space="0" w:color="auto"/>
        <w:bottom w:val="none" w:sz="0" w:space="0" w:color="auto"/>
        <w:right w:val="none" w:sz="0" w:space="0" w:color="auto"/>
      </w:divBdr>
      <w:divsChild>
        <w:div w:id="1793396844">
          <w:marLeft w:val="0"/>
          <w:marRight w:val="0"/>
          <w:marTop w:val="0"/>
          <w:marBottom w:val="0"/>
          <w:divBdr>
            <w:top w:val="none" w:sz="0" w:space="0" w:color="auto"/>
            <w:left w:val="none" w:sz="0" w:space="0" w:color="auto"/>
            <w:bottom w:val="none" w:sz="0" w:space="0" w:color="auto"/>
            <w:right w:val="none" w:sz="0" w:space="0" w:color="auto"/>
          </w:divBdr>
          <w:divsChild>
            <w:div w:id="6035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5668">
      <w:bodyDiv w:val="1"/>
      <w:marLeft w:val="0"/>
      <w:marRight w:val="0"/>
      <w:marTop w:val="0"/>
      <w:marBottom w:val="0"/>
      <w:divBdr>
        <w:top w:val="none" w:sz="0" w:space="0" w:color="auto"/>
        <w:left w:val="none" w:sz="0" w:space="0" w:color="auto"/>
        <w:bottom w:val="none" w:sz="0" w:space="0" w:color="auto"/>
        <w:right w:val="none" w:sz="0" w:space="0" w:color="auto"/>
      </w:divBdr>
      <w:divsChild>
        <w:div w:id="1388991351">
          <w:marLeft w:val="0"/>
          <w:marRight w:val="0"/>
          <w:marTop w:val="0"/>
          <w:marBottom w:val="0"/>
          <w:divBdr>
            <w:top w:val="none" w:sz="0" w:space="0" w:color="auto"/>
            <w:left w:val="none" w:sz="0" w:space="0" w:color="auto"/>
            <w:bottom w:val="none" w:sz="0" w:space="0" w:color="auto"/>
            <w:right w:val="none" w:sz="0" w:space="0" w:color="auto"/>
          </w:divBdr>
          <w:divsChild>
            <w:div w:id="19658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584">
      <w:bodyDiv w:val="1"/>
      <w:marLeft w:val="0"/>
      <w:marRight w:val="0"/>
      <w:marTop w:val="0"/>
      <w:marBottom w:val="0"/>
      <w:divBdr>
        <w:top w:val="none" w:sz="0" w:space="0" w:color="auto"/>
        <w:left w:val="none" w:sz="0" w:space="0" w:color="auto"/>
        <w:bottom w:val="none" w:sz="0" w:space="0" w:color="auto"/>
        <w:right w:val="none" w:sz="0" w:space="0" w:color="auto"/>
      </w:divBdr>
      <w:divsChild>
        <w:div w:id="754546703">
          <w:marLeft w:val="0"/>
          <w:marRight w:val="0"/>
          <w:marTop w:val="0"/>
          <w:marBottom w:val="0"/>
          <w:divBdr>
            <w:top w:val="none" w:sz="0" w:space="0" w:color="auto"/>
            <w:left w:val="none" w:sz="0" w:space="0" w:color="auto"/>
            <w:bottom w:val="none" w:sz="0" w:space="0" w:color="auto"/>
            <w:right w:val="none" w:sz="0" w:space="0" w:color="auto"/>
          </w:divBdr>
          <w:divsChild>
            <w:div w:id="16488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843">
      <w:bodyDiv w:val="1"/>
      <w:marLeft w:val="0"/>
      <w:marRight w:val="0"/>
      <w:marTop w:val="0"/>
      <w:marBottom w:val="0"/>
      <w:divBdr>
        <w:top w:val="none" w:sz="0" w:space="0" w:color="auto"/>
        <w:left w:val="none" w:sz="0" w:space="0" w:color="auto"/>
        <w:bottom w:val="none" w:sz="0" w:space="0" w:color="auto"/>
        <w:right w:val="none" w:sz="0" w:space="0" w:color="auto"/>
      </w:divBdr>
      <w:divsChild>
        <w:div w:id="1898054780">
          <w:marLeft w:val="0"/>
          <w:marRight w:val="0"/>
          <w:marTop w:val="0"/>
          <w:marBottom w:val="0"/>
          <w:divBdr>
            <w:top w:val="none" w:sz="0" w:space="0" w:color="auto"/>
            <w:left w:val="none" w:sz="0" w:space="0" w:color="auto"/>
            <w:bottom w:val="none" w:sz="0" w:space="0" w:color="auto"/>
            <w:right w:val="none" w:sz="0" w:space="0" w:color="auto"/>
          </w:divBdr>
          <w:divsChild>
            <w:div w:id="1489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4252">
      <w:bodyDiv w:val="1"/>
      <w:marLeft w:val="0"/>
      <w:marRight w:val="0"/>
      <w:marTop w:val="0"/>
      <w:marBottom w:val="0"/>
      <w:divBdr>
        <w:top w:val="none" w:sz="0" w:space="0" w:color="auto"/>
        <w:left w:val="none" w:sz="0" w:space="0" w:color="auto"/>
        <w:bottom w:val="none" w:sz="0" w:space="0" w:color="auto"/>
        <w:right w:val="none" w:sz="0" w:space="0" w:color="auto"/>
      </w:divBdr>
      <w:divsChild>
        <w:div w:id="1869680932">
          <w:marLeft w:val="0"/>
          <w:marRight w:val="0"/>
          <w:marTop w:val="0"/>
          <w:marBottom w:val="0"/>
          <w:divBdr>
            <w:top w:val="none" w:sz="0" w:space="0" w:color="auto"/>
            <w:left w:val="none" w:sz="0" w:space="0" w:color="auto"/>
            <w:bottom w:val="none" w:sz="0" w:space="0" w:color="auto"/>
            <w:right w:val="none" w:sz="0" w:space="0" w:color="auto"/>
          </w:divBdr>
          <w:divsChild>
            <w:div w:id="14145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9672">
      <w:bodyDiv w:val="1"/>
      <w:marLeft w:val="0"/>
      <w:marRight w:val="0"/>
      <w:marTop w:val="0"/>
      <w:marBottom w:val="0"/>
      <w:divBdr>
        <w:top w:val="none" w:sz="0" w:space="0" w:color="auto"/>
        <w:left w:val="none" w:sz="0" w:space="0" w:color="auto"/>
        <w:bottom w:val="none" w:sz="0" w:space="0" w:color="auto"/>
        <w:right w:val="none" w:sz="0" w:space="0" w:color="auto"/>
      </w:divBdr>
      <w:divsChild>
        <w:div w:id="920792765">
          <w:marLeft w:val="0"/>
          <w:marRight w:val="0"/>
          <w:marTop w:val="0"/>
          <w:marBottom w:val="0"/>
          <w:divBdr>
            <w:top w:val="none" w:sz="0" w:space="0" w:color="auto"/>
            <w:left w:val="none" w:sz="0" w:space="0" w:color="auto"/>
            <w:bottom w:val="none" w:sz="0" w:space="0" w:color="auto"/>
            <w:right w:val="none" w:sz="0" w:space="0" w:color="auto"/>
          </w:divBdr>
          <w:divsChild>
            <w:div w:id="5705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1315">
      <w:bodyDiv w:val="1"/>
      <w:marLeft w:val="0"/>
      <w:marRight w:val="0"/>
      <w:marTop w:val="0"/>
      <w:marBottom w:val="0"/>
      <w:divBdr>
        <w:top w:val="none" w:sz="0" w:space="0" w:color="auto"/>
        <w:left w:val="none" w:sz="0" w:space="0" w:color="auto"/>
        <w:bottom w:val="none" w:sz="0" w:space="0" w:color="auto"/>
        <w:right w:val="none" w:sz="0" w:space="0" w:color="auto"/>
      </w:divBdr>
      <w:divsChild>
        <w:div w:id="704404924">
          <w:marLeft w:val="0"/>
          <w:marRight w:val="0"/>
          <w:marTop w:val="0"/>
          <w:marBottom w:val="0"/>
          <w:divBdr>
            <w:top w:val="none" w:sz="0" w:space="0" w:color="auto"/>
            <w:left w:val="none" w:sz="0" w:space="0" w:color="auto"/>
            <w:bottom w:val="none" w:sz="0" w:space="0" w:color="auto"/>
            <w:right w:val="none" w:sz="0" w:space="0" w:color="auto"/>
          </w:divBdr>
          <w:divsChild>
            <w:div w:id="2274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4181">
      <w:bodyDiv w:val="1"/>
      <w:marLeft w:val="0"/>
      <w:marRight w:val="0"/>
      <w:marTop w:val="0"/>
      <w:marBottom w:val="0"/>
      <w:divBdr>
        <w:top w:val="none" w:sz="0" w:space="0" w:color="auto"/>
        <w:left w:val="none" w:sz="0" w:space="0" w:color="auto"/>
        <w:bottom w:val="none" w:sz="0" w:space="0" w:color="auto"/>
        <w:right w:val="none" w:sz="0" w:space="0" w:color="auto"/>
      </w:divBdr>
    </w:div>
    <w:div w:id="451486485">
      <w:bodyDiv w:val="1"/>
      <w:marLeft w:val="0"/>
      <w:marRight w:val="0"/>
      <w:marTop w:val="0"/>
      <w:marBottom w:val="0"/>
      <w:divBdr>
        <w:top w:val="none" w:sz="0" w:space="0" w:color="auto"/>
        <w:left w:val="none" w:sz="0" w:space="0" w:color="auto"/>
        <w:bottom w:val="none" w:sz="0" w:space="0" w:color="auto"/>
        <w:right w:val="none" w:sz="0" w:space="0" w:color="auto"/>
      </w:divBdr>
      <w:divsChild>
        <w:div w:id="820124411">
          <w:marLeft w:val="0"/>
          <w:marRight w:val="0"/>
          <w:marTop w:val="0"/>
          <w:marBottom w:val="0"/>
          <w:divBdr>
            <w:top w:val="none" w:sz="0" w:space="0" w:color="auto"/>
            <w:left w:val="none" w:sz="0" w:space="0" w:color="auto"/>
            <w:bottom w:val="none" w:sz="0" w:space="0" w:color="auto"/>
            <w:right w:val="none" w:sz="0" w:space="0" w:color="auto"/>
          </w:divBdr>
          <w:divsChild>
            <w:div w:id="1313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5944">
      <w:bodyDiv w:val="1"/>
      <w:marLeft w:val="0"/>
      <w:marRight w:val="0"/>
      <w:marTop w:val="0"/>
      <w:marBottom w:val="0"/>
      <w:divBdr>
        <w:top w:val="none" w:sz="0" w:space="0" w:color="auto"/>
        <w:left w:val="none" w:sz="0" w:space="0" w:color="auto"/>
        <w:bottom w:val="none" w:sz="0" w:space="0" w:color="auto"/>
        <w:right w:val="none" w:sz="0" w:space="0" w:color="auto"/>
      </w:divBdr>
      <w:divsChild>
        <w:div w:id="665061527">
          <w:marLeft w:val="0"/>
          <w:marRight w:val="0"/>
          <w:marTop w:val="0"/>
          <w:marBottom w:val="0"/>
          <w:divBdr>
            <w:top w:val="none" w:sz="0" w:space="0" w:color="auto"/>
            <w:left w:val="none" w:sz="0" w:space="0" w:color="auto"/>
            <w:bottom w:val="none" w:sz="0" w:space="0" w:color="auto"/>
            <w:right w:val="none" w:sz="0" w:space="0" w:color="auto"/>
          </w:divBdr>
          <w:divsChild>
            <w:div w:id="6243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4766">
      <w:bodyDiv w:val="1"/>
      <w:marLeft w:val="0"/>
      <w:marRight w:val="0"/>
      <w:marTop w:val="0"/>
      <w:marBottom w:val="0"/>
      <w:divBdr>
        <w:top w:val="none" w:sz="0" w:space="0" w:color="auto"/>
        <w:left w:val="none" w:sz="0" w:space="0" w:color="auto"/>
        <w:bottom w:val="none" w:sz="0" w:space="0" w:color="auto"/>
        <w:right w:val="none" w:sz="0" w:space="0" w:color="auto"/>
      </w:divBdr>
      <w:divsChild>
        <w:div w:id="1639728630">
          <w:marLeft w:val="0"/>
          <w:marRight w:val="0"/>
          <w:marTop w:val="0"/>
          <w:marBottom w:val="0"/>
          <w:divBdr>
            <w:top w:val="none" w:sz="0" w:space="0" w:color="auto"/>
            <w:left w:val="none" w:sz="0" w:space="0" w:color="auto"/>
            <w:bottom w:val="none" w:sz="0" w:space="0" w:color="auto"/>
            <w:right w:val="none" w:sz="0" w:space="0" w:color="auto"/>
          </w:divBdr>
          <w:divsChild>
            <w:div w:id="11421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4567">
      <w:bodyDiv w:val="1"/>
      <w:marLeft w:val="0"/>
      <w:marRight w:val="0"/>
      <w:marTop w:val="0"/>
      <w:marBottom w:val="0"/>
      <w:divBdr>
        <w:top w:val="none" w:sz="0" w:space="0" w:color="auto"/>
        <w:left w:val="none" w:sz="0" w:space="0" w:color="auto"/>
        <w:bottom w:val="none" w:sz="0" w:space="0" w:color="auto"/>
        <w:right w:val="none" w:sz="0" w:space="0" w:color="auto"/>
      </w:divBdr>
      <w:divsChild>
        <w:div w:id="297271754">
          <w:marLeft w:val="0"/>
          <w:marRight w:val="0"/>
          <w:marTop w:val="0"/>
          <w:marBottom w:val="0"/>
          <w:divBdr>
            <w:top w:val="none" w:sz="0" w:space="0" w:color="auto"/>
            <w:left w:val="none" w:sz="0" w:space="0" w:color="auto"/>
            <w:bottom w:val="none" w:sz="0" w:space="0" w:color="auto"/>
            <w:right w:val="none" w:sz="0" w:space="0" w:color="auto"/>
          </w:divBdr>
          <w:divsChild>
            <w:div w:id="9478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4314">
      <w:bodyDiv w:val="1"/>
      <w:marLeft w:val="0"/>
      <w:marRight w:val="0"/>
      <w:marTop w:val="0"/>
      <w:marBottom w:val="0"/>
      <w:divBdr>
        <w:top w:val="none" w:sz="0" w:space="0" w:color="auto"/>
        <w:left w:val="none" w:sz="0" w:space="0" w:color="auto"/>
        <w:bottom w:val="none" w:sz="0" w:space="0" w:color="auto"/>
        <w:right w:val="none" w:sz="0" w:space="0" w:color="auto"/>
      </w:divBdr>
      <w:divsChild>
        <w:div w:id="772285520">
          <w:marLeft w:val="0"/>
          <w:marRight w:val="0"/>
          <w:marTop w:val="0"/>
          <w:marBottom w:val="0"/>
          <w:divBdr>
            <w:top w:val="none" w:sz="0" w:space="0" w:color="auto"/>
            <w:left w:val="none" w:sz="0" w:space="0" w:color="auto"/>
            <w:bottom w:val="none" w:sz="0" w:space="0" w:color="auto"/>
            <w:right w:val="none" w:sz="0" w:space="0" w:color="auto"/>
          </w:divBdr>
          <w:divsChild>
            <w:div w:id="9138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7479">
      <w:bodyDiv w:val="1"/>
      <w:marLeft w:val="0"/>
      <w:marRight w:val="0"/>
      <w:marTop w:val="0"/>
      <w:marBottom w:val="0"/>
      <w:divBdr>
        <w:top w:val="none" w:sz="0" w:space="0" w:color="auto"/>
        <w:left w:val="none" w:sz="0" w:space="0" w:color="auto"/>
        <w:bottom w:val="none" w:sz="0" w:space="0" w:color="auto"/>
        <w:right w:val="none" w:sz="0" w:space="0" w:color="auto"/>
      </w:divBdr>
      <w:divsChild>
        <w:div w:id="244847691">
          <w:marLeft w:val="0"/>
          <w:marRight w:val="0"/>
          <w:marTop w:val="0"/>
          <w:marBottom w:val="0"/>
          <w:divBdr>
            <w:top w:val="none" w:sz="0" w:space="0" w:color="auto"/>
            <w:left w:val="none" w:sz="0" w:space="0" w:color="auto"/>
            <w:bottom w:val="none" w:sz="0" w:space="0" w:color="auto"/>
            <w:right w:val="none" w:sz="0" w:space="0" w:color="auto"/>
          </w:divBdr>
          <w:divsChild>
            <w:div w:id="14108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8349">
      <w:bodyDiv w:val="1"/>
      <w:marLeft w:val="0"/>
      <w:marRight w:val="0"/>
      <w:marTop w:val="0"/>
      <w:marBottom w:val="0"/>
      <w:divBdr>
        <w:top w:val="none" w:sz="0" w:space="0" w:color="auto"/>
        <w:left w:val="none" w:sz="0" w:space="0" w:color="auto"/>
        <w:bottom w:val="none" w:sz="0" w:space="0" w:color="auto"/>
        <w:right w:val="none" w:sz="0" w:space="0" w:color="auto"/>
      </w:divBdr>
      <w:divsChild>
        <w:div w:id="1961838628">
          <w:marLeft w:val="0"/>
          <w:marRight w:val="0"/>
          <w:marTop w:val="0"/>
          <w:marBottom w:val="0"/>
          <w:divBdr>
            <w:top w:val="none" w:sz="0" w:space="0" w:color="auto"/>
            <w:left w:val="none" w:sz="0" w:space="0" w:color="auto"/>
            <w:bottom w:val="none" w:sz="0" w:space="0" w:color="auto"/>
            <w:right w:val="none" w:sz="0" w:space="0" w:color="auto"/>
          </w:divBdr>
          <w:divsChild>
            <w:div w:id="1885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2014">
      <w:bodyDiv w:val="1"/>
      <w:marLeft w:val="0"/>
      <w:marRight w:val="0"/>
      <w:marTop w:val="0"/>
      <w:marBottom w:val="0"/>
      <w:divBdr>
        <w:top w:val="none" w:sz="0" w:space="0" w:color="auto"/>
        <w:left w:val="none" w:sz="0" w:space="0" w:color="auto"/>
        <w:bottom w:val="none" w:sz="0" w:space="0" w:color="auto"/>
        <w:right w:val="none" w:sz="0" w:space="0" w:color="auto"/>
      </w:divBdr>
      <w:divsChild>
        <w:div w:id="94982524">
          <w:marLeft w:val="0"/>
          <w:marRight w:val="0"/>
          <w:marTop w:val="0"/>
          <w:marBottom w:val="0"/>
          <w:divBdr>
            <w:top w:val="none" w:sz="0" w:space="0" w:color="auto"/>
            <w:left w:val="none" w:sz="0" w:space="0" w:color="auto"/>
            <w:bottom w:val="none" w:sz="0" w:space="0" w:color="auto"/>
            <w:right w:val="none" w:sz="0" w:space="0" w:color="auto"/>
          </w:divBdr>
          <w:divsChild>
            <w:div w:id="176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8589">
      <w:bodyDiv w:val="1"/>
      <w:marLeft w:val="0"/>
      <w:marRight w:val="0"/>
      <w:marTop w:val="0"/>
      <w:marBottom w:val="0"/>
      <w:divBdr>
        <w:top w:val="none" w:sz="0" w:space="0" w:color="auto"/>
        <w:left w:val="none" w:sz="0" w:space="0" w:color="auto"/>
        <w:bottom w:val="none" w:sz="0" w:space="0" w:color="auto"/>
        <w:right w:val="none" w:sz="0" w:space="0" w:color="auto"/>
      </w:divBdr>
      <w:divsChild>
        <w:div w:id="1622879980">
          <w:marLeft w:val="0"/>
          <w:marRight w:val="0"/>
          <w:marTop w:val="0"/>
          <w:marBottom w:val="0"/>
          <w:divBdr>
            <w:top w:val="none" w:sz="0" w:space="0" w:color="auto"/>
            <w:left w:val="none" w:sz="0" w:space="0" w:color="auto"/>
            <w:bottom w:val="none" w:sz="0" w:space="0" w:color="auto"/>
            <w:right w:val="none" w:sz="0" w:space="0" w:color="auto"/>
          </w:divBdr>
          <w:divsChild>
            <w:div w:id="5780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0052">
      <w:bodyDiv w:val="1"/>
      <w:marLeft w:val="0"/>
      <w:marRight w:val="0"/>
      <w:marTop w:val="0"/>
      <w:marBottom w:val="0"/>
      <w:divBdr>
        <w:top w:val="none" w:sz="0" w:space="0" w:color="auto"/>
        <w:left w:val="none" w:sz="0" w:space="0" w:color="auto"/>
        <w:bottom w:val="none" w:sz="0" w:space="0" w:color="auto"/>
        <w:right w:val="none" w:sz="0" w:space="0" w:color="auto"/>
      </w:divBdr>
      <w:divsChild>
        <w:div w:id="703166814">
          <w:marLeft w:val="0"/>
          <w:marRight w:val="0"/>
          <w:marTop w:val="0"/>
          <w:marBottom w:val="0"/>
          <w:divBdr>
            <w:top w:val="none" w:sz="0" w:space="0" w:color="auto"/>
            <w:left w:val="none" w:sz="0" w:space="0" w:color="auto"/>
            <w:bottom w:val="none" w:sz="0" w:space="0" w:color="auto"/>
            <w:right w:val="none" w:sz="0" w:space="0" w:color="auto"/>
          </w:divBdr>
          <w:divsChild>
            <w:div w:id="14583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5656">
      <w:bodyDiv w:val="1"/>
      <w:marLeft w:val="0"/>
      <w:marRight w:val="0"/>
      <w:marTop w:val="0"/>
      <w:marBottom w:val="0"/>
      <w:divBdr>
        <w:top w:val="none" w:sz="0" w:space="0" w:color="auto"/>
        <w:left w:val="none" w:sz="0" w:space="0" w:color="auto"/>
        <w:bottom w:val="none" w:sz="0" w:space="0" w:color="auto"/>
        <w:right w:val="none" w:sz="0" w:space="0" w:color="auto"/>
      </w:divBdr>
      <w:divsChild>
        <w:div w:id="1388841235">
          <w:marLeft w:val="0"/>
          <w:marRight w:val="0"/>
          <w:marTop w:val="0"/>
          <w:marBottom w:val="0"/>
          <w:divBdr>
            <w:top w:val="none" w:sz="0" w:space="0" w:color="auto"/>
            <w:left w:val="none" w:sz="0" w:space="0" w:color="auto"/>
            <w:bottom w:val="none" w:sz="0" w:space="0" w:color="auto"/>
            <w:right w:val="none" w:sz="0" w:space="0" w:color="auto"/>
          </w:divBdr>
          <w:divsChild>
            <w:div w:id="7305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778">
      <w:bodyDiv w:val="1"/>
      <w:marLeft w:val="0"/>
      <w:marRight w:val="0"/>
      <w:marTop w:val="0"/>
      <w:marBottom w:val="0"/>
      <w:divBdr>
        <w:top w:val="none" w:sz="0" w:space="0" w:color="auto"/>
        <w:left w:val="none" w:sz="0" w:space="0" w:color="auto"/>
        <w:bottom w:val="none" w:sz="0" w:space="0" w:color="auto"/>
        <w:right w:val="none" w:sz="0" w:space="0" w:color="auto"/>
      </w:divBdr>
      <w:divsChild>
        <w:div w:id="1107388501">
          <w:marLeft w:val="0"/>
          <w:marRight w:val="0"/>
          <w:marTop w:val="0"/>
          <w:marBottom w:val="0"/>
          <w:divBdr>
            <w:top w:val="none" w:sz="0" w:space="0" w:color="auto"/>
            <w:left w:val="none" w:sz="0" w:space="0" w:color="auto"/>
            <w:bottom w:val="none" w:sz="0" w:space="0" w:color="auto"/>
            <w:right w:val="none" w:sz="0" w:space="0" w:color="auto"/>
          </w:divBdr>
          <w:divsChild>
            <w:div w:id="7801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656">
      <w:bodyDiv w:val="1"/>
      <w:marLeft w:val="0"/>
      <w:marRight w:val="0"/>
      <w:marTop w:val="0"/>
      <w:marBottom w:val="0"/>
      <w:divBdr>
        <w:top w:val="none" w:sz="0" w:space="0" w:color="auto"/>
        <w:left w:val="none" w:sz="0" w:space="0" w:color="auto"/>
        <w:bottom w:val="none" w:sz="0" w:space="0" w:color="auto"/>
        <w:right w:val="none" w:sz="0" w:space="0" w:color="auto"/>
      </w:divBdr>
      <w:divsChild>
        <w:div w:id="917784929">
          <w:marLeft w:val="0"/>
          <w:marRight w:val="0"/>
          <w:marTop w:val="0"/>
          <w:marBottom w:val="0"/>
          <w:divBdr>
            <w:top w:val="none" w:sz="0" w:space="0" w:color="auto"/>
            <w:left w:val="none" w:sz="0" w:space="0" w:color="auto"/>
            <w:bottom w:val="none" w:sz="0" w:space="0" w:color="auto"/>
            <w:right w:val="none" w:sz="0" w:space="0" w:color="auto"/>
          </w:divBdr>
          <w:divsChild>
            <w:div w:id="10988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9373">
      <w:bodyDiv w:val="1"/>
      <w:marLeft w:val="0"/>
      <w:marRight w:val="0"/>
      <w:marTop w:val="0"/>
      <w:marBottom w:val="0"/>
      <w:divBdr>
        <w:top w:val="none" w:sz="0" w:space="0" w:color="auto"/>
        <w:left w:val="none" w:sz="0" w:space="0" w:color="auto"/>
        <w:bottom w:val="none" w:sz="0" w:space="0" w:color="auto"/>
        <w:right w:val="none" w:sz="0" w:space="0" w:color="auto"/>
      </w:divBdr>
      <w:divsChild>
        <w:div w:id="1143157631">
          <w:marLeft w:val="0"/>
          <w:marRight w:val="0"/>
          <w:marTop w:val="0"/>
          <w:marBottom w:val="0"/>
          <w:divBdr>
            <w:top w:val="none" w:sz="0" w:space="0" w:color="auto"/>
            <w:left w:val="none" w:sz="0" w:space="0" w:color="auto"/>
            <w:bottom w:val="none" w:sz="0" w:space="0" w:color="auto"/>
            <w:right w:val="none" w:sz="0" w:space="0" w:color="auto"/>
          </w:divBdr>
          <w:divsChild>
            <w:div w:id="1747411944">
              <w:marLeft w:val="0"/>
              <w:marRight w:val="0"/>
              <w:marTop w:val="0"/>
              <w:marBottom w:val="0"/>
              <w:divBdr>
                <w:top w:val="none" w:sz="0" w:space="0" w:color="auto"/>
                <w:left w:val="none" w:sz="0" w:space="0" w:color="auto"/>
                <w:bottom w:val="none" w:sz="0" w:space="0" w:color="auto"/>
                <w:right w:val="none" w:sz="0" w:space="0" w:color="auto"/>
              </w:divBdr>
            </w:div>
            <w:div w:id="546452183">
              <w:marLeft w:val="0"/>
              <w:marRight w:val="0"/>
              <w:marTop w:val="0"/>
              <w:marBottom w:val="0"/>
              <w:divBdr>
                <w:top w:val="none" w:sz="0" w:space="0" w:color="auto"/>
                <w:left w:val="none" w:sz="0" w:space="0" w:color="auto"/>
                <w:bottom w:val="none" w:sz="0" w:space="0" w:color="auto"/>
                <w:right w:val="none" w:sz="0" w:space="0" w:color="auto"/>
              </w:divBdr>
            </w:div>
            <w:div w:id="173303512">
              <w:marLeft w:val="0"/>
              <w:marRight w:val="0"/>
              <w:marTop w:val="0"/>
              <w:marBottom w:val="0"/>
              <w:divBdr>
                <w:top w:val="none" w:sz="0" w:space="0" w:color="auto"/>
                <w:left w:val="none" w:sz="0" w:space="0" w:color="auto"/>
                <w:bottom w:val="none" w:sz="0" w:space="0" w:color="auto"/>
                <w:right w:val="none" w:sz="0" w:space="0" w:color="auto"/>
              </w:divBdr>
            </w:div>
            <w:div w:id="469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7054">
      <w:bodyDiv w:val="1"/>
      <w:marLeft w:val="0"/>
      <w:marRight w:val="0"/>
      <w:marTop w:val="0"/>
      <w:marBottom w:val="0"/>
      <w:divBdr>
        <w:top w:val="none" w:sz="0" w:space="0" w:color="auto"/>
        <w:left w:val="none" w:sz="0" w:space="0" w:color="auto"/>
        <w:bottom w:val="none" w:sz="0" w:space="0" w:color="auto"/>
        <w:right w:val="none" w:sz="0" w:space="0" w:color="auto"/>
      </w:divBdr>
      <w:divsChild>
        <w:div w:id="658078836">
          <w:marLeft w:val="0"/>
          <w:marRight w:val="0"/>
          <w:marTop w:val="0"/>
          <w:marBottom w:val="0"/>
          <w:divBdr>
            <w:top w:val="none" w:sz="0" w:space="0" w:color="auto"/>
            <w:left w:val="none" w:sz="0" w:space="0" w:color="auto"/>
            <w:bottom w:val="none" w:sz="0" w:space="0" w:color="auto"/>
            <w:right w:val="none" w:sz="0" w:space="0" w:color="auto"/>
          </w:divBdr>
          <w:divsChild>
            <w:div w:id="123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1811">
      <w:bodyDiv w:val="1"/>
      <w:marLeft w:val="0"/>
      <w:marRight w:val="0"/>
      <w:marTop w:val="0"/>
      <w:marBottom w:val="0"/>
      <w:divBdr>
        <w:top w:val="none" w:sz="0" w:space="0" w:color="auto"/>
        <w:left w:val="none" w:sz="0" w:space="0" w:color="auto"/>
        <w:bottom w:val="none" w:sz="0" w:space="0" w:color="auto"/>
        <w:right w:val="none" w:sz="0" w:space="0" w:color="auto"/>
      </w:divBdr>
      <w:divsChild>
        <w:div w:id="1690795048">
          <w:marLeft w:val="0"/>
          <w:marRight w:val="0"/>
          <w:marTop w:val="0"/>
          <w:marBottom w:val="0"/>
          <w:divBdr>
            <w:top w:val="none" w:sz="0" w:space="0" w:color="auto"/>
            <w:left w:val="none" w:sz="0" w:space="0" w:color="auto"/>
            <w:bottom w:val="none" w:sz="0" w:space="0" w:color="auto"/>
            <w:right w:val="none" w:sz="0" w:space="0" w:color="auto"/>
          </w:divBdr>
          <w:divsChild>
            <w:div w:id="4692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85302">
      <w:bodyDiv w:val="1"/>
      <w:marLeft w:val="0"/>
      <w:marRight w:val="0"/>
      <w:marTop w:val="0"/>
      <w:marBottom w:val="0"/>
      <w:divBdr>
        <w:top w:val="none" w:sz="0" w:space="0" w:color="auto"/>
        <w:left w:val="none" w:sz="0" w:space="0" w:color="auto"/>
        <w:bottom w:val="none" w:sz="0" w:space="0" w:color="auto"/>
        <w:right w:val="none" w:sz="0" w:space="0" w:color="auto"/>
      </w:divBdr>
      <w:divsChild>
        <w:div w:id="1890023544">
          <w:marLeft w:val="0"/>
          <w:marRight w:val="0"/>
          <w:marTop w:val="0"/>
          <w:marBottom w:val="0"/>
          <w:divBdr>
            <w:top w:val="none" w:sz="0" w:space="0" w:color="auto"/>
            <w:left w:val="none" w:sz="0" w:space="0" w:color="auto"/>
            <w:bottom w:val="none" w:sz="0" w:space="0" w:color="auto"/>
            <w:right w:val="none" w:sz="0" w:space="0" w:color="auto"/>
          </w:divBdr>
          <w:divsChild>
            <w:div w:id="11455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8381">
      <w:bodyDiv w:val="1"/>
      <w:marLeft w:val="0"/>
      <w:marRight w:val="0"/>
      <w:marTop w:val="0"/>
      <w:marBottom w:val="0"/>
      <w:divBdr>
        <w:top w:val="none" w:sz="0" w:space="0" w:color="auto"/>
        <w:left w:val="none" w:sz="0" w:space="0" w:color="auto"/>
        <w:bottom w:val="none" w:sz="0" w:space="0" w:color="auto"/>
        <w:right w:val="none" w:sz="0" w:space="0" w:color="auto"/>
      </w:divBdr>
      <w:divsChild>
        <w:div w:id="910458540">
          <w:marLeft w:val="0"/>
          <w:marRight w:val="0"/>
          <w:marTop w:val="0"/>
          <w:marBottom w:val="0"/>
          <w:divBdr>
            <w:top w:val="none" w:sz="0" w:space="0" w:color="auto"/>
            <w:left w:val="none" w:sz="0" w:space="0" w:color="auto"/>
            <w:bottom w:val="none" w:sz="0" w:space="0" w:color="auto"/>
            <w:right w:val="none" w:sz="0" w:space="0" w:color="auto"/>
          </w:divBdr>
          <w:divsChild>
            <w:div w:id="10446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50380">
      <w:bodyDiv w:val="1"/>
      <w:marLeft w:val="0"/>
      <w:marRight w:val="0"/>
      <w:marTop w:val="0"/>
      <w:marBottom w:val="0"/>
      <w:divBdr>
        <w:top w:val="none" w:sz="0" w:space="0" w:color="auto"/>
        <w:left w:val="none" w:sz="0" w:space="0" w:color="auto"/>
        <w:bottom w:val="none" w:sz="0" w:space="0" w:color="auto"/>
        <w:right w:val="none" w:sz="0" w:space="0" w:color="auto"/>
      </w:divBdr>
    </w:div>
    <w:div w:id="842744923">
      <w:bodyDiv w:val="1"/>
      <w:marLeft w:val="0"/>
      <w:marRight w:val="0"/>
      <w:marTop w:val="0"/>
      <w:marBottom w:val="0"/>
      <w:divBdr>
        <w:top w:val="none" w:sz="0" w:space="0" w:color="auto"/>
        <w:left w:val="none" w:sz="0" w:space="0" w:color="auto"/>
        <w:bottom w:val="none" w:sz="0" w:space="0" w:color="auto"/>
        <w:right w:val="none" w:sz="0" w:space="0" w:color="auto"/>
      </w:divBdr>
      <w:divsChild>
        <w:div w:id="1136684741">
          <w:marLeft w:val="0"/>
          <w:marRight w:val="0"/>
          <w:marTop w:val="0"/>
          <w:marBottom w:val="0"/>
          <w:divBdr>
            <w:top w:val="none" w:sz="0" w:space="0" w:color="auto"/>
            <w:left w:val="none" w:sz="0" w:space="0" w:color="auto"/>
            <w:bottom w:val="none" w:sz="0" w:space="0" w:color="auto"/>
            <w:right w:val="none" w:sz="0" w:space="0" w:color="auto"/>
          </w:divBdr>
          <w:divsChild>
            <w:div w:id="12123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8882">
      <w:bodyDiv w:val="1"/>
      <w:marLeft w:val="0"/>
      <w:marRight w:val="0"/>
      <w:marTop w:val="0"/>
      <w:marBottom w:val="0"/>
      <w:divBdr>
        <w:top w:val="none" w:sz="0" w:space="0" w:color="auto"/>
        <w:left w:val="none" w:sz="0" w:space="0" w:color="auto"/>
        <w:bottom w:val="none" w:sz="0" w:space="0" w:color="auto"/>
        <w:right w:val="none" w:sz="0" w:space="0" w:color="auto"/>
      </w:divBdr>
      <w:divsChild>
        <w:div w:id="1656102895">
          <w:marLeft w:val="0"/>
          <w:marRight w:val="0"/>
          <w:marTop w:val="0"/>
          <w:marBottom w:val="0"/>
          <w:divBdr>
            <w:top w:val="none" w:sz="0" w:space="0" w:color="auto"/>
            <w:left w:val="none" w:sz="0" w:space="0" w:color="auto"/>
            <w:bottom w:val="none" w:sz="0" w:space="0" w:color="auto"/>
            <w:right w:val="none" w:sz="0" w:space="0" w:color="auto"/>
          </w:divBdr>
          <w:divsChild>
            <w:div w:id="8023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461">
      <w:bodyDiv w:val="1"/>
      <w:marLeft w:val="0"/>
      <w:marRight w:val="0"/>
      <w:marTop w:val="0"/>
      <w:marBottom w:val="0"/>
      <w:divBdr>
        <w:top w:val="none" w:sz="0" w:space="0" w:color="auto"/>
        <w:left w:val="none" w:sz="0" w:space="0" w:color="auto"/>
        <w:bottom w:val="none" w:sz="0" w:space="0" w:color="auto"/>
        <w:right w:val="none" w:sz="0" w:space="0" w:color="auto"/>
      </w:divBdr>
      <w:divsChild>
        <w:div w:id="240874439">
          <w:marLeft w:val="0"/>
          <w:marRight w:val="0"/>
          <w:marTop w:val="0"/>
          <w:marBottom w:val="0"/>
          <w:divBdr>
            <w:top w:val="none" w:sz="0" w:space="0" w:color="auto"/>
            <w:left w:val="none" w:sz="0" w:space="0" w:color="auto"/>
            <w:bottom w:val="none" w:sz="0" w:space="0" w:color="auto"/>
            <w:right w:val="none" w:sz="0" w:space="0" w:color="auto"/>
          </w:divBdr>
          <w:divsChild>
            <w:div w:id="5657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9916">
      <w:bodyDiv w:val="1"/>
      <w:marLeft w:val="0"/>
      <w:marRight w:val="0"/>
      <w:marTop w:val="0"/>
      <w:marBottom w:val="0"/>
      <w:divBdr>
        <w:top w:val="none" w:sz="0" w:space="0" w:color="auto"/>
        <w:left w:val="none" w:sz="0" w:space="0" w:color="auto"/>
        <w:bottom w:val="none" w:sz="0" w:space="0" w:color="auto"/>
        <w:right w:val="none" w:sz="0" w:space="0" w:color="auto"/>
      </w:divBdr>
      <w:divsChild>
        <w:div w:id="1460415446">
          <w:marLeft w:val="0"/>
          <w:marRight w:val="0"/>
          <w:marTop w:val="0"/>
          <w:marBottom w:val="0"/>
          <w:divBdr>
            <w:top w:val="none" w:sz="0" w:space="0" w:color="auto"/>
            <w:left w:val="none" w:sz="0" w:space="0" w:color="auto"/>
            <w:bottom w:val="none" w:sz="0" w:space="0" w:color="auto"/>
            <w:right w:val="none" w:sz="0" w:space="0" w:color="auto"/>
          </w:divBdr>
          <w:divsChild>
            <w:div w:id="11034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7213">
      <w:bodyDiv w:val="1"/>
      <w:marLeft w:val="0"/>
      <w:marRight w:val="0"/>
      <w:marTop w:val="0"/>
      <w:marBottom w:val="0"/>
      <w:divBdr>
        <w:top w:val="none" w:sz="0" w:space="0" w:color="auto"/>
        <w:left w:val="none" w:sz="0" w:space="0" w:color="auto"/>
        <w:bottom w:val="none" w:sz="0" w:space="0" w:color="auto"/>
        <w:right w:val="none" w:sz="0" w:space="0" w:color="auto"/>
      </w:divBdr>
      <w:divsChild>
        <w:div w:id="1829901725">
          <w:marLeft w:val="0"/>
          <w:marRight w:val="0"/>
          <w:marTop w:val="0"/>
          <w:marBottom w:val="0"/>
          <w:divBdr>
            <w:top w:val="none" w:sz="0" w:space="0" w:color="auto"/>
            <w:left w:val="none" w:sz="0" w:space="0" w:color="auto"/>
            <w:bottom w:val="none" w:sz="0" w:space="0" w:color="auto"/>
            <w:right w:val="none" w:sz="0" w:space="0" w:color="auto"/>
          </w:divBdr>
          <w:divsChild>
            <w:div w:id="3209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5395">
      <w:bodyDiv w:val="1"/>
      <w:marLeft w:val="0"/>
      <w:marRight w:val="0"/>
      <w:marTop w:val="0"/>
      <w:marBottom w:val="0"/>
      <w:divBdr>
        <w:top w:val="none" w:sz="0" w:space="0" w:color="auto"/>
        <w:left w:val="none" w:sz="0" w:space="0" w:color="auto"/>
        <w:bottom w:val="none" w:sz="0" w:space="0" w:color="auto"/>
        <w:right w:val="none" w:sz="0" w:space="0" w:color="auto"/>
      </w:divBdr>
      <w:divsChild>
        <w:div w:id="1759517783">
          <w:marLeft w:val="0"/>
          <w:marRight w:val="0"/>
          <w:marTop w:val="0"/>
          <w:marBottom w:val="0"/>
          <w:divBdr>
            <w:top w:val="none" w:sz="0" w:space="0" w:color="auto"/>
            <w:left w:val="none" w:sz="0" w:space="0" w:color="auto"/>
            <w:bottom w:val="none" w:sz="0" w:space="0" w:color="auto"/>
            <w:right w:val="none" w:sz="0" w:space="0" w:color="auto"/>
          </w:divBdr>
          <w:divsChild>
            <w:div w:id="715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3361">
      <w:bodyDiv w:val="1"/>
      <w:marLeft w:val="0"/>
      <w:marRight w:val="0"/>
      <w:marTop w:val="0"/>
      <w:marBottom w:val="0"/>
      <w:divBdr>
        <w:top w:val="none" w:sz="0" w:space="0" w:color="auto"/>
        <w:left w:val="none" w:sz="0" w:space="0" w:color="auto"/>
        <w:bottom w:val="none" w:sz="0" w:space="0" w:color="auto"/>
        <w:right w:val="none" w:sz="0" w:space="0" w:color="auto"/>
      </w:divBdr>
    </w:div>
    <w:div w:id="1081097572">
      <w:bodyDiv w:val="1"/>
      <w:marLeft w:val="0"/>
      <w:marRight w:val="0"/>
      <w:marTop w:val="0"/>
      <w:marBottom w:val="0"/>
      <w:divBdr>
        <w:top w:val="none" w:sz="0" w:space="0" w:color="auto"/>
        <w:left w:val="none" w:sz="0" w:space="0" w:color="auto"/>
        <w:bottom w:val="none" w:sz="0" w:space="0" w:color="auto"/>
        <w:right w:val="none" w:sz="0" w:space="0" w:color="auto"/>
      </w:divBdr>
      <w:divsChild>
        <w:div w:id="694883998">
          <w:marLeft w:val="0"/>
          <w:marRight w:val="0"/>
          <w:marTop w:val="0"/>
          <w:marBottom w:val="0"/>
          <w:divBdr>
            <w:top w:val="none" w:sz="0" w:space="0" w:color="auto"/>
            <w:left w:val="none" w:sz="0" w:space="0" w:color="auto"/>
            <w:bottom w:val="none" w:sz="0" w:space="0" w:color="auto"/>
            <w:right w:val="none" w:sz="0" w:space="0" w:color="auto"/>
          </w:divBdr>
          <w:divsChild>
            <w:div w:id="924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8596">
      <w:bodyDiv w:val="1"/>
      <w:marLeft w:val="0"/>
      <w:marRight w:val="0"/>
      <w:marTop w:val="0"/>
      <w:marBottom w:val="0"/>
      <w:divBdr>
        <w:top w:val="none" w:sz="0" w:space="0" w:color="auto"/>
        <w:left w:val="none" w:sz="0" w:space="0" w:color="auto"/>
        <w:bottom w:val="none" w:sz="0" w:space="0" w:color="auto"/>
        <w:right w:val="none" w:sz="0" w:space="0" w:color="auto"/>
      </w:divBdr>
      <w:divsChild>
        <w:div w:id="1969582560">
          <w:marLeft w:val="0"/>
          <w:marRight w:val="0"/>
          <w:marTop w:val="0"/>
          <w:marBottom w:val="0"/>
          <w:divBdr>
            <w:top w:val="none" w:sz="0" w:space="0" w:color="auto"/>
            <w:left w:val="none" w:sz="0" w:space="0" w:color="auto"/>
            <w:bottom w:val="none" w:sz="0" w:space="0" w:color="auto"/>
            <w:right w:val="none" w:sz="0" w:space="0" w:color="auto"/>
          </w:divBdr>
          <w:divsChild>
            <w:div w:id="5503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4791">
      <w:bodyDiv w:val="1"/>
      <w:marLeft w:val="41"/>
      <w:marRight w:val="41"/>
      <w:marTop w:val="41"/>
      <w:marBottom w:val="41"/>
      <w:divBdr>
        <w:top w:val="none" w:sz="0" w:space="0" w:color="auto"/>
        <w:left w:val="none" w:sz="0" w:space="0" w:color="auto"/>
        <w:bottom w:val="none" w:sz="0" w:space="0" w:color="auto"/>
        <w:right w:val="none" w:sz="0" w:space="0" w:color="auto"/>
      </w:divBdr>
      <w:divsChild>
        <w:div w:id="2123762991">
          <w:marLeft w:val="0"/>
          <w:marRight w:val="0"/>
          <w:marTop w:val="0"/>
          <w:marBottom w:val="0"/>
          <w:divBdr>
            <w:top w:val="none" w:sz="0" w:space="0" w:color="auto"/>
            <w:left w:val="none" w:sz="0" w:space="0" w:color="auto"/>
            <w:bottom w:val="none" w:sz="0" w:space="0" w:color="auto"/>
            <w:right w:val="none" w:sz="0" w:space="0" w:color="auto"/>
          </w:divBdr>
          <w:divsChild>
            <w:div w:id="1517964216">
              <w:marLeft w:val="62"/>
              <w:marRight w:val="62"/>
              <w:marTop w:val="62"/>
              <w:marBottom w:val="62"/>
              <w:divBdr>
                <w:top w:val="none" w:sz="0" w:space="0" w:color="auto"/>
                <w:left w:val="none" w:sz="0" w:space="0" w:color="auto"/>
                <w:bottom w:val="none" w:sz="0" w:space="0" w:color="auto"/>
                <w:right w:val="none" w:sz="0" w:space="0" w:color="auto"/>
              </w:divBdr>
              <w:divsChild>
                <w:div w:id="1763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6810">
      <w:bodyDiv w:val="1"/>
      <w:marLeft w:val="0"/>
      <w:marRight w:val="0"/>
      <w:marTop w:val="0"/>
      <w:marBottom w:val="0"/>
      <w:divBdr>
        <w:top w:val="none" w:sz="0" w:space="0" w:color="auto"/>
        <w:left w:val="none" w:sz="0" w:space="0" w:color="auto"/>
        <w:bottom w:val="none" w:sz="0" w:space="0" w:color="auto"/>
        <w:right w:val="none" w:sz="0" w:space="0" w:color="auto"/>
      </w:divBdr>
      <w:divsChild>
        <w:div w:id="1047606514">
          <w:marLeft w:val="0"/>
          <w:marRight w:val="0"/>
          <w:marTop w:val="0"/>
          <w:marBottom w:val="0"/>
          <w:divBdr>
            <w:top w:val="none" w:sz="0" w:space="0" w:color="auto"/>
            <w:left w:val="none" w:sz="0" w:space="0" w:color="auto"/>
            <w:bottom w:val="none" w:sz="0" w:space="0" w:color="auto"/>
            <w:right w:val="none" w:sz="0" w:space="0" w:color="auto"/>
          </w:divBdr>
          <w:divsChild>
            <w:div w:id="3605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0432">
      <w:bodyDiv w:val="1"/>
      <w:marLeft w:val="0"/>
      <w:marRight w:val="0"/>
      <w:marTop w:val="0"/>
      <w:marBottom w:val="0"/>
      <w:divBdr>
        <w:top w:val="none" w:sz="0" w:space="0" w:color="auto"/>
        <w:left w:val="none" w:sz="0" w:space="0" w:color="auto"/>
        <w:bottom w:val="none" w:sz="0" w:space="0" w:color="auto"/>
        <w:right w:val="none" w:sz="0" w:space="0" w:color="auto"/>
      </w:divBdr>
      <w:divsChild>
        <w:div w:id="608663799">
          <w:marLeft w:val="0"/>
          <w:marRight w:val="0"/>
          <w:marTop w:val="0"/>
          <w:marBottom w:val="0"/>
          <w:divBdr>
            <w:top w:val="none" w:sz="0" w:space="0" w:color="auto"/>
            <w:left w:val="none" w:sz="0" w:space="0" w:color="auto"/>
            <w:bottom w:val="none" w:sz="0" w:space="0" w:color="auto"/>
            <w:right w:val="none" w:sz="0" w:space="0" w:color="auto"/>
          </w:divBdr>
          <w:divsChild>
            <w:div w:id="1080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3866">
      <w:bodyDiv w:val="1"/>
      <w:marLeft w:val="0"/>
      <w:marRight w:val="0"/>
      <w:marTop w:val="0"/>
      <w:marBottom w:val="0"/>
      <w:divBdr>
        <w:top w:val="none" w:sz="0" w:space="0" w:color="auto"/>
        <w:left w:val="none" w:sz="0" w:space="0" w:color="auto"/>
        <w:bottom w:val="none" w:sz="0" w:space="0" w:color="auto"/>
        <w:right w:val="none" w:sz="0" w:space="0" w:color="auto"/>
      </w:divBdr>
      <w:divsChild>
        <w:div w:id="1948610763">
          <w:marLeft w:val="0"/>
          <w:marRight w:val="0"/>
          <w:marTop w:val="0"/>
          <w:marBottom w:val="0"/>
          <w:divBdr>
            <w:top w:val="none" w:sz="0" w:space="0" w:color="auto"/>
            <w:left w:val="none" w:sz="0" w:space="0" w:color="auto"/>
            <w:bottom w:val="none" w:sz="0" w:space="0" w:color="auto"/>
            <w:right w:val="none" w:sz="0" w:space="0" w:color="auto"/>
          </w:divBdr>
          <w:divsChild>
            <w:div w:id="8097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3292">
      <w:bodyDiv w:val="1"/>
      <w:marLeft w:val="0"/>
      <w:marRight w:val="0"/>
      <w:marTop w:val="0"/>
      <w:marBottom w:val="0"/>
      <w:divBdr>
        <w:top w:val="none" w:sz="0" w:space="0" w:color="auto"/>
        <w:left w:val="none" w:sz="0" w:space="0" w:color="auto"/>
        <w:bottom w:val="none" w:sz="0" w:space="0" w:color="auto"/>
        <w:right w:val="none" w:sz="0" w:space="0" w:color="auto"/>
      </w:divBdr>
      <w:divsChild>
        <w:div w:id="323319498">
          <w:marLeft w:val="0"/>
          <w:marRight w:val="0"/>
          <w:marTop w:val="0"/>
          <w:marBottom w:val="0"/>
          <w:divBdr>
            <w:top w:val="none" w:sz="0" w:space="0" w:color="auto"/>
            <w:left w:val="none" w:sz="0" w:space="0" w:color="auto"/>
            <w:bottom w:val="none" w:sz="0" w:space="0" w:color="auto"/>
            <w:right w:val="none" w:sz="0" w:space="0" w:color="auto"/>
          </w:divBdr>
          <w:divsChild>
            <w:div w:id="9323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9904">
      <w:bodyDiv w:val="1"/>
      <w:marLeft w:val="0"/>
      <w:marRight w:val="0"/>
      <w:marTop w:val="0"/>
      <w:marBottom w:val="0"/>
      <w:divBdr>
        <w:top w:val="none" w:sz="0" w:space="0" w:color="auto"/>
        <w:left w:val="none" w:sz="0" w:space="0" w:color="auto"/>
        <w:bottom w:val="none" w:sz="0" w:space="0" w:color="auto"/>
        <w:right w:val="none" w:sz="0" w:space="0" w:color="auto"/>
      </w:divBdr>
      <w:divsChild>
        <w:div w:id="791632877">
          <w:marLeft w:val="0"/>
          <w:marRight w:val="0"/>
          <w:marTop w:val="0"/>
          <w:marBottom w:val="0"/>
          <w:divBdr>
            <w:top w:val="none" w:sz="0" w:space="0" w:color="auto"/>
            <w:left w:val="none" w:sz="0" w:space="0" w:color="auto"/>
            <w:bottom w:val="none" w:sz="0" w:space="0" w:color="auto"/>
            <w:right w:val="none" w:sz="0" w:space="0" w:color="auto"/>
          </w:divBdr>
          <w:divsChild>
            <w:div w:id="919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4576">
      <w:bodyDiv w:val="1"/>
      <w:marLeft w:val="0"/>
      <w:marRight w:val="0"/>
      <w:marTop w:val="0"/>
      <w:marBottom w:val="0"/>
      <w:divBdr>
        <w:top w:val="none" w:sz="0" w:space="0" w:color="auto"/>
        <w:left w:val="none" w:sz="0" w:space="0" w:color="auto"/>
        <w:bottom w:val="none" w:sz="0" w:space="0" w:color="auto"/>
        <w:right w:val="none" w:sz="0" w:space="0" w:color="auto"/>
      </w:divBdr>
      <w:divsChild>
        <w:div w:id="400912487">
          <w:marLeft w:val="0"/>
          <w:marRight w:val="0"/>
          <w:marTop w:val="0"/>
          <w:marBottom w:val="0"/>
          <w:divBdr>
            <w:top w:val="none" w:sz="0" w:space="0" w:color="auto"/>
            <w:left w:val="none" w:sz="0" w:space="0" w:color="auto"/>
            <w:bottom w:val="none" w:sz="0" w:space="0" w:color="auto"/>
            <w:right w:val="none" w:sz="0" w:space="0" w:color="auto"/>
          </w:divBdr>
          <w:divsChild>
            <w:div w:id="8155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728">
      <w:bodyDiv w:val="1"/>
      <w:marLeft w:val="0"/>
      <w:marRight w:val="0"/>
      <w:marTop w:val="0"/>
      <w:marBottom w:val="0"/>
      <w:divBdr>
        <w:top w:val="none" w:sz="0" w:space="0" w:color="auto"/>
        <w:left w:val="none" w:sz="0" w:space="0" w:color="auto"/>
        <w:bottom w:val="none" w:sz="0" w:space="0" w:color="auto"/>
        <w:right w:val="none" w:sz="0" w:space="0" w:color="auto"/>
      </w:divBdr>
      <w:divsChild>
        <w:div w:id="2129935633">
          <w:marLeft w:val="0"/>
          <w:marRight w:val="0"/>
          <w:marTop w:val="0"/>
          <w:marBottom w:val="0"/>
          <w:divBdr>
            <w:top w:val="none" w:sz="0" w:space="0" w:color="auto"/>
            <w:left w:val="none" w:sz="0" w:space="0" w:color="auto"/>
            <w:bottom w:val="none" w:sz="0" w:space="0" w:color="auto"/>
            <w:right w:val="none" w:sz="0" w:space="0" w:color="auto"/>
          </w:divBdr>
          <w:divsChild>
            <w:div w:id="15689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9281">
      <w:bodyDiv w:val="1"/>
      <w:marLeft w:val="0"/>
      <w:marRight w:val="0"/>
      <w:marTop w:val="0"/>
      <w:marBottom w:val="0"/>
      <w:divBdr>
        <w:top w:val="none" w:sz="0" w:space="0" w:color="auto"/>
        <w:left w:val="none" w:sz="0" w:space="0" w:color="auto"/>
        <w:bottom w:val="none" w:sz="0" w:space="0" w:color="auto"/>
        <w:right w:val="none" w:sz="0" w:space="0" w:color="auto"/>
      </w:divBdr>
      <w:divsChild>
        <w:div w:id="2090688524">
          <w:marLeft w:val="0"/>
          <w:marRight w:val="0"/>
          <w:marTop w:val="0"/>
          <w:marBottom w:val="0"/>
          <w:divBdr>
            <w:top w:val="none" w:sz="0" w:space="0" w:color="auto"/>
            <w:left w:val="none" w:sz="0" w:space="0" w:color="auto"/>
            <w:bottom w:val="none" w:sz="0" w:space="0" w:color="auto"/>
            <w:right w:val="none" w:sz="0" w:space="0" w:color="auto"/>
          </w:divBdr>
          <w:divsChild>
            <w:div w:id="12760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4260">
      <w:bodyDiv w:val="1"/>
      <w:marLeft w:val="0"/>
      <w:marRight w:val="0"/>
      <w:marTop w:val="0"/>
      <w:marBottom w:val="0"/>
      <w:divBdr>
        <w:top w:val="none" w:sz="0" w:space="0" w:color="auto"/>
        <w:left w:val="none" w:sz="0" w:space="0" w:color="auto"/>
        <w:bottom w:val="none" w:sz="0" w:space="0" w:color="auto"/>
        <w:right w:val="none" w:sz="0" w:space="0" w:color="auto"/>
      </w:divBdr>
      <w:divsChild>
        <w:div w:id="38668917">
          <w:marLeft w:val="0"/>
          <w:marRight w:val="0"/>
          <w:marTop w:val="0"/>
          <w:marBottom w:val="0"/>
          <w:divBdr>
            <w:top w:val="none" w:sz="0" w:space="0" w:color="auto"/>
            <w:left w:val="none" w:sz="0" w:space="0" w:color="auto"/>
            <w:bottom w:val="none" w:sz="0" w:space="0" w:color="auto"/>
            <w:right w:val="none" w:sz="0" w:space="0" w:color="auto"/>
          </w:divBdr>
          <w:divsChild>
            <w:div w:id="1557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0994">
      <w:bodyDiv w:val="1"/>
      <w:marLeft w:val="0"/>
      <w:marRight w:val="0"/>
      <w:marTop w:val="0"/>
      <w:marBottom w:val="0"/>
      <w:divBdr>
        <w:top w:val="none" w:sz="0" w:space="0" w:color="auto"/>
        <w:left w:val="none" w:sz="0" w:space="0" w:color="auto"/>
        <w:bottom w:val="none" w:sz="0" w:space="0" w:color="auto"/>
        <w:right w:val="none" w:sz="0" w:space="0" w:color="auto"/>
      </w:divBdr>
      <w:divsChild>
        <w:div w:id="443890827">
          <w:marLeft w:val="0"/>
          <w:marRight w:val="0"/>
          <w:marTop w:val="0"/>
          <w:marBottom w:val="0"/>
          <w:divBdr>
            <w:top w:val="none" w:sz="0" w:space="0" w:color="auto"/>
            <w:left w:val="none" w:sz="0" w:space="0" w:color="auto"/>
            <w:bottom w:val="none" w:sz="0" w:space="0" w:color="auto"/>
            <w:right w:val="none" w:sz="0" w:space="0" w:color="auto"/>
          </w:divBdr>
          <w:divsChild>
            <w:div w:id="1389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655">
      <w:bodyDiv w:val="1"/>
      <w:marLeft w:val="0"/>
      <w:marRight w:val="0"/>
      <w:marTop w:val="0"/>
      <w:marBottom w:val="0"/>
      <w:divBdr>
        <w:top w:val="none" w:sz="0" w:space="0" w:color="auto"/>
        <w:left w:val="none" w:sz="0" w:space="0" w:color="auto"/>
        <w:bottom w:val="none" w:sz="0" w:space="0" w:color="auto"/>
        <w:right w:val="none" w:sz="0" w:space="0" w:color="auto"/>
      </w:divBdr>
      <w:divsChild>
        <w:div w:id="1580753008">
          <w:marLeft w:val="0"/>
          <w:marRight w:val="0"/>
          <w:marTop w:val="0"/>
          <w:marBottom w:val="0"/>
          <w:divBdr>
            <w:top w:val="none" w:sz="0" w:space="0" w:color="auto"/>
            <w:left w:val="none" w:sz="0" w:space="0" w:color="auto"/>
            <w:bottom w:val="none" w:sz="0" w:space="0" w:color="auto"/>
            <w:right w:val="none" w:sz="0" w:space="0" w:color="auto"/>
          </w:divBdr>
          <w:divsChild>
            <w:div w:id="134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9766">
      <w:bodyDiv w:val="1"/>
      <w:marLeft w:val="0"/>
      <w:marRight w:val="0"/>
      <w:marTop w:val="0"/>
      <w:marBottom w:val="0"/>
      <w:divBdr>
        <w:top w:val="none" w:sz="0" w:space="0" w:color="auto"/>
        <w:left w:val="none" w:sz="0" w:space="0" w:color="auto"/>
        <w:bottom w:val="none" w:sz="0" w:space="0" w:color="auto"/>
        <w:right w:val="none" w:sz="0" w:space="0" w:color="auto"/>
      </w:divBdr>
      <w:divsChild>
        <w:div w:id="1655647847">
          <w:marLeft w:val="0"/>
          <w:marRight w:val="0"/>
          <w:marTop w:val="0"/>
          <w:marBottom w:val="0"/>
          <w:divBdr>
            <w:top w:val="none" w:sz="0" w:space="0" w:color="auto"/>
            <w:left w:val="none" w:sz="0" w:space="0" w:color="auto"/>
            <w:bottom w:val="none" w:sz="0" w:space="0" w:color="auto"/>
            <w:right w:val="none" w:sz="0" w:space="0" w:color="auto"/>
          </w:divBdr>
          <w:divsChild>
            <w:div w:id="13107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6354">
      <w:bodyDiv w:val="1"/>
      <w:marLeft w:val="0"/>
      <w:marRight w:val="0"/>
      <w:marTop w:val="0"/>
      <w:marBottom w:val="0"/>
      <w:divBdr>
        <w:top w:val="none" w:sz="0" w:space="0" w:color="auto"/>
        <w:left w:val="none" w:sz="0" w:space="0" w:color="auto"/>
        <w:bottom w:val="none" w:sz="0" w:space="0" w:color="auto"/>
        <w:right w:val="none" w:sz="0" w:space="0" w:color="auto"/>
      </w:divBdr>
      <w:divsChild>
        <w:div w:id="1314407691">
          <w:marLeft w:val="0"/>
          <w:marRight w:val="0"/>
          <w:marTop w:val="0"/>
          <w:marBottom w:val="0"/>
          <w:divBdr>
            <w:top w:val="none" w:sz="0" w:space="0" w:color="auto"/>
            <w:left w:val="none" w:sz="0" w:space="0" w:color="auto"/>
            <w:bottom w:val="none" w:sz="0" w:space="0" w:color="auto"/>
            <w:right w:val="none" w:sz="0" w:space="0" w:color="auto"/>
          </w:divBdr>
          <w:divsChild>
            <w:div w:id="10933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0645">
      <w:bodyDiv w:val="1"/>
      <w:marLeft w:val="0"/>
      <w:marRight w:val="0"/>
      <w:marTop w:val="0"/>
      <w:marBottom w:val="0"/>
      <w:divBdr>
        <w:top w:val="none" w:sz="0" w:space="0" w:color="auto"/>
        <w:left w:val="none" w:sz="0" w:space="0" w:color="auto"/>
        <w:bottom w:val="none" w:sz="0" w:space="0" w:color="auto"/>
        <w:right w:val="none" w:sz="0" w:space="0" w:color="auto"/>
      </w:divBdr>
      <w:divsChild>
        <w:div w:id="1628967619">
          <w:marLeft w:val="0"/>
          <w:marRight w:val="0"/>
          <w:marTop w:val="0"/>
          <w:marBottom w:val="0"/>
          <w:divBdr>
            <w:top w:val="none" w:sz="0" w:space="0" w:color="auto"/>
            <w:left w:val="none" w:sz="0" w:space="0" w:color="auto"/>
            <w:bottom w:val="none" w:sz="0" w:space="0" w:color="auto"/>
            <w:right w:val="none" w:sz="0" w:space="0" w:color="auto"/>
          </w:divBdr>
          <w:divsChild>
            <w:div w:id="1083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349">
      <w:bodyDiv w:val="1"/>
      <w:marLeft w:val="0"/>
      <w:marRight w:val="0"/>
      <w:marTop w:val="0"/>
      <w:marBottom w:val="0"/>
      <w:divBdr>
        <w:top w:val="none" w:sz="0" w:space="0" w:color="auto"/>
        <w:left w:val="none" w:sz="0" w:space="0" w:color="auto"/>
        <w:bottom w:val="none" w:sz="0" w:space="0" w:color="auto"/>
        <w:right w:val="none" w:sz="0" w:space="0" w:color="auto"/>
      </w:divBdr>
      <w:divsChild>
        <w:div w:id="1489439853">
          <w:marLeft w:val="0"/>
          <w:marRight w:val="0"/>
          <w:marTop w:val="0"/>
          <w:marBottom w:val="0"/>
          <w:divBdr>
            <w:top w:val="none" w:sz="0" w:space="0" w:color="auto"/>
            <w:left w:val="none" w:sz="0" w:space="0" w:color="auto"/>
            <w:bottom w:val="none" w:sz="0" w:space="0" w:color="auto"/>
            <w:right w:val="none" w:sz="0" w:space="0" w:color="auto"/>
          </w:divBdr>
          <w:divsChild>
            <w:div w:id="7639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1587">
      <w:bodyDiv w:val="1"/>
      <w:marLeft w:val="0"/>
      <w:marRight w:val="0"/>
      <w:marTop w:val="0"/>
      <w:marBottom w:val="0"/>
      <w:divBdr>
        <w:top w:val="none" w:sz="0" w:space="0" w:color="auto"/>
        <w:left w:val="none" w:sz="0" w:space="0" w:color="auto"/>
        <w:bottom w:val="none" w:sz="0" w:space="0" w:color="auto"/>
        <w:right w:val="none" w:sz="0" w:space="0" w:color="auto"/>
      </w:divBdr>
      <w:divsChild>
        <w:div w:id="838153675">
          <w:marLeft w:val="0"/>
          <w:marRight w:val="0"/>
          <w:marTop w:val="0"/>
          <w:marBottom w:val="0"/>
          <w:divBdr>
            <w:top w:val="none" w:sz="0" w:space="0" w:color="auto"/>
            <w:left w:val="none" w:sz="0" w:space="0" w:color="auto"/>
            <w:bottom w:val="none" w:sz="0" w:space="0" w:color="auto"/>
            <w:right w:val="none" w:sz="0" w:space="0" w:color="auto"/>
          </w:divBdr>
          <w:divsChild>
            <w:div w:id="1195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465">
      <w:bodyDiv w:val="1"/>
      <w:marLeft w:val="0"/>
      <w:marRight w:val="0"/>
      <w:marTop w:val="0"/>
      <w:marBottom w:val="0"/>
      <w:divBdr>
        <w:top w:val="none" w:sz="0" w:space="0" w:color="auto"/>
        <w:left w:val="none" w:sz="0" w:space="0" w:color="auto"/>
        <w:bottom w:val="none" w:sz="0" w:space="0" w:color="auto"/>
        <w:right w:val="none" w:sz="0" w:space="0" w:color="auto"/>
      </w:divBdr>
      <w:divsChild>
        <w:div w:id="241792297">
          <w:marLeft w:val="0"/>
          <w:marRight w:val="0"/>
          <w:marTop w:val="0"/>
          <w:marBottom w:val="0"/>
          <w:divBdr>
            <w:top w:val="none" w:sz="0" w:space="0" w:color="auto"/>
            <w:left w:val="none" w:sz="0" w:space="0" w:color="auto"/>
            <w:bottom w:val="none" w:sz="0" w:space="0" w:color="auto"/>
            <w:right w:val="none" w:sz="0" w:space="0" w:color="auto"/>
          </w:divBdr>
          <w:divsChild>
            <w:div w:id="1004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1793">
      <w:bodyDiv w:val="1"/>
      <w:marLeft w:val="0"/>
      <w:marRight w:val="0"/>
      <w:marTop w:val="0"/>
      <w:marBottom w:val="0"/>
      <w:divBdr>
        <w:top w:val="none" w:sz="0" w:space="0" w:color="auto"/>
        <w:left w:val="none" w:sz="0" w:space="0" w:color="auto"/>
        <w:bottom w:val="none" w:sz="0" w:space="0" w:color="auto"/>
        <w:right w:val="none" w:sz="0" w:space="0" w:color="auto"/>
      </w:divBdr>
      <w:divsChild>
        <w:div w:id="484860013">
          <w:marLeft w:val="0"/>
          <w:marRight w:val="0"/>
          <w:marTop w:val="0"/>
          <w:marBottom w:val="0"/>
          <w:divBdr>
            <w:top w:val="none" w:sz="0" w:space="0" w:color="auto"/>
            <w:left w:val="none" w:sz="0" w:space="0" w:color="auto"/>
            <w:bottom w:val="none" w:sz="0" w:space="0" w:color="auto"/>
            <w:right w:val="none" w:sz="0" w:space="0" w:color="auto"/>
          </w:divBdr>
          <w:divsChild>
            <w:div w:id="18217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6084">
      <w:bodyDiv w:val="1"/>
      <w:marLeft w:val="0"/>
      <w:marRight w:val="0"/>
      <w:marTop w:val="0"/>
      <w:marBottom w:val="0"/>
      <w:divBdr>
        <w:top w:val="none" w:sz="0" w:space="0" w:color="auto"/>
        <w:left w:val="none" w:sz="0" w:space="0" w:color="auto"/>
        <w:bottom w:val="none" w:sz="0" w:space="0" w:color="auto"/>
        <w:right w:val="none" w:sz="0" w:space="0" w:color="auto"/>
      </w:divBdr>
      <w:divsChild>
        <w:div w:id="684333623">
          <w:marLeft w:val="0"/>
          <w:marRight w:val="0"/>
          <w:marTop w:val="0"/>
          <w:marBottom w:val="0"/>
          <w:divBdr>
            <w:top w:val="none" w:sz="0" w:space="0" w:color="auto"/>
            <w:left w:val="none" w:sz="0" w:space="0" w:color="auto"/>
            <w:bottom w:val="none" w:sz="0" w:space="0" w:color="auto"/>
            <w:right w:val="none" w:sz="0" w:space="0" w:color="auto"/>
          </w:divBdr>
          <w:divsChild>
            <w:div w:id="4163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16275">
      <w:bodyDiv w:val="1"/>
      <w:marLeft w:val="0"/>
      <w:marRight w:val="0"/>
      <w:marTop w:val="0"/>
      <w:marBottom w:val="0"/>
      <w:divBdr>
        <w:top w:val="none" w:sz="0" w:space="0" w:color="auto"/>
        <w:left w:val="none" w:sz="0" w:space="0" w:color="auto"/>
        <w:bottom w:val="none" w:sz="0" w:space="0" w:color="auto"/>
        <w:right w:val="none" w:sz="0" w:space="0" w:color="auto"/>
      </w:divBdr>
      <w:divsChild>
        <w:div w:id="1193111205">
          <w:marLeft w:val="0"/>
          <w:marRight w:val="0"/>
          <w:marTop w:val="0"/>
          <w:marBottom w:val="0"/>
          <w:divBdr>
            <w:top w:val="none" w:sz="0" w:space="0" w:color="auto"/>
            <w:left w:val="none" w:sz="0" w:space="0" w:color="auto"/>
            <w:bottom w:val="none" w:sz="0" w:space="0" w:color="auto"/>
            <w:right w:val="none" w:sz="0" w:space="0" w:color="auto"/>
          </w:divBdr>
          <w:divsChild>
            <w:div w:id="13090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808">
      <w:bodyDiv w:val="1"/>
      <w:marLeft w:val="0"/>
      <w:marRight w:val="0"/>
      <w:marTop w:val="0"/>
      <w:marBottom w:val="0"/>
      <w:divBdr>
        <w:top w:val="none" w:sz="0" w:space="0" w:color="auto"/>
        <w:left w:val="none" w:sz="0" w:space="0" w:color="auto"/>
        <w:bottom w:val="none" w:sz="0" w:space="0" w:color="auto"/>
        <w:right w:val="none" w:sz="0" w:space="0" w:color="auto"/>
      </w:divBdr>
      <w:divsChild>
        <w:div w:id="2053529509">
          <w:marLeft w:val="0"/>
          <w:marRight w:val="0"/>
          <w:marTop w:val="0"/>
          <w:marBottom w:val="0"/>
          <w:divBdr>
            <w:top w:val="none" w:sz="0" w:space="0" w:color="auto"/>
            <w:left w:val="none" w:sz="0" w:space="0" w:color="auto"/>
            <w:bottom w:val="none" w:sz="0" w:space="0" w:color="auto"/>
            <w:right w:val="none" w:sz="0" w:space="0" w:color="auto"/>
          </w:divBdr>
          <w:divsChild>
            <w:div w:id="17612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895">
      <w:bodyDiv w:val="1"/>
      <w:marLeft w:val="0"/>
      <w:marRight w:val="0"/>
      <w:marTop w:val="0"/>
      <w:marBottom w:val="0"/>
      <w:divBdr>
        <w:top w:val="none" w:sz="0" w:space="0" w:color="auto"/>
        <w:left w:val="none" w:sz="0" w:space="0" w:color="auto"/>
        <w:bottom w:val="none" w:sz="0" w:space="0" w:color="auto"/>
        <w:right w:val="none" w:sz="0" w:space="0" w:color="auto"/>
      </w:divBdr>
      <w:divsChild>
        <w:div w:id="1009527847">
          <w:marLeft w:val="0"/>
          <w:marRight w:val="0"/>
          <w:marTop w:val="0"/>
          <w:marBottom w:val="0"/>
          <w:divBdr>
            <w:top w:val="none" w:sz="0" w:space="0" w:color="auto"/>
            <w:left w:val="none" w:sz="0" w:space="0" w:color="auto"/>
            <w:bottom w:val="none" w:sz="0" w:space="0" w:color="auto"/>
            <w:right w:val="none" w:sz="0" w:space="0" w:color="auto"/>
          </w:divBdr>
          <w:divsChild>
            <w:div w:id="6906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1469">
      <w:bodyDiv w:val="1"/>
      <w:marLeft w:val="0"/>
      <w:marRight w:val="0"/>
      <w:marTop w:val="0"/>
      <w:marBottom w:val="0"/>
      <w:divBdr>
        <w:top w:val="none" w:sz="0" w:space="0" w:color="auto"/>
        <w:left w:val="none" w:sz="0" w:space="0" w:color="auto"/>
        <w:bottom w:val="none" w:sz="0" w:space="0" w:color="auto"/>
        <w:right w:val="none" w:sz="0" w:space="0" w:color="auto"/>
      </w:divBdr>
      <w:divsChild>
        <w:div w:id="972246844">
          <w:marLeft w:val="0"/>
          <w:marRight w:val="0"/>
          <w:marTop w:val="0"/>
          <w:marBottom w:val="0"/>
          <w:divBdr>
            <w:top w:val="none" w:sz="0" w:space="0" w:color="auto"/>
            <w:left w:val="none" w:sz="0" w:space="0" w:color="auto"/>
            <w:bottom w:val="none" w:sz="0" w:space="0" w:color="auto"/>
            <w:right w:val="none" w:sz="0" w:space="0" w:color="auto"/>
          </w:divBdr>
          <w:divsChild>
            <w:div w:id="534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8353">
      <w:bodyDiv w:val="1"/>
      <w:marLeft w:val="0"/>
      <w:marRight w:val="0"/>
      <w:marTop w:val="0"/>
      <w:marBottom w:val="0"/>
      <w:divBdr>
        <w:top w:val="none" w:sz="0" w:space="0" w:color="auto"/>
        <w:left w:val="none" w:sz="0" w:space="0" w:color="auto"/>
        <w:bottom w:val="none" w:sz="0" w:space="0" w:color="auto"/>
        <w:right w:val="none" w:sz="0" w:space="0" w:color="auto"/>
      </w:divBdr>
      <w:divsChild>
        <w:div w:id="1216774052">
          <w:marLeft w:val="0"/>
          <w:marRight w:val="0"/>
          <w:marTop w:val="0"/>
          <w:marBottom w:val="0"/>
          <w:divBdr>
            <w:top w:val="none" w:sz="0" w:space="0" w:color="auto"/>
            <w:left w:val="none" w:sz="0" w:space="0" w:color="auto"/>
            <w:bottom w:val="none" w:sz="0" w:space="0" w:color="auto"/>
            <w:right w:val="none" w:sz="0" w:space="0" w:color="auto"/>
          </w:divBdr>
          <w:divsChild>
            <w:div w:id="1894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2958">
      <w:bodyDiv w:val="1"/>
      <w:marLeft w:val="0"/>
      <w:marRight w:val="0"/>
      <w:marTop w:val="0"/>
      <w:marBottom w:val="0"/>
      <w:divBdr>
        <w:top w:val="none" w:sz="0" w:space="0" w:color="auto"/>
        <w:left w:val="none" w:sz="0" w:space="0" w:color="auto"/>
        <w:bottom w:val="none" w:sz="0" w:space="0" w:color="auto"/>
        <w:right w:val="none" w:sz="0" w:space="0" w:color="auto"/>
      </w:divBdr>
      <w:divsChild>
        <w:div w:id="312104938">
          <w:marLeft w:val="0"/>
          <w:marRight w:val="0"/>
          <w:marTop w:val="0"/>
          <w:marBottom w:val="0"/>
          <w:divBdr>
            <w:top w:val="none" w:sz="0" w:space="0" w:color="auto"/>
            <w:left w:val="none" w:sz="0" w:space="0" w:color="auto"/>
            <w:bottom w:val="none" w:sz="0" w:space="0" w:color="auto"/>
            <w:right w:val="none" w:sz="0" w:space="0" w:color="auto"/>
          </w:divBdr>
          <w:divsChild>
            <w:div w:id="1134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86543">
      <w:bodyDiv w:val="1"/>
      <w:marLeft w:val="0"/>
      <w:marRight w:val="0"/>
      <w:marTop w:val="0"/>
      <w:marBottom w:val="0"/>
      <w:divBdr>
        <w:top w:val="none" w:sz="0" w:space="0" w:color="auto"/>
        <w:left w:val="none" w:sz="0" w:space="0" w:color="auto"/>
        <w:bottom w:val="none" w:sz="0" w:space="0" w:color="auto"/>
        <w:right w:val="none" w:sz="0" w:space="0" w:color="auto"/>
      </w:divBdr>
      <w:divsChild>
        <w:div w:id="885147238">
          <w:marLeft w:val="0"/>
          <w:marRight w:val="0"/>
          <w:marTop w:val="0"/>
          <w:marBottom w:val="0"/>
          <w:divBdr>
            <w:top w:val="none" w:sz="0" w:space="0" w:color="auto"/>
            <w:left w:val="none" w:sz="0" w:space="0" w:color="auto"/>
            <w:bottom w:val="none" w:sz="0" w:space="0" w:color="auto"/>
            <w:right w:val="none" w:sz="0" w:space="0" w:color="auto"/>
          </w:divBdr>
          <w:divsChild>
            <w:div w:id="10282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6468">
      <w:bodyDiv w:val="1"/>
      <w:marLeft w:val="0"/>
      <w:marRight w:val="0"/>
      <w:marTop w:val="0"/>
      <w:marBottom w:val="0"/>
      <w:divBdr>
        <w:top w:val="none" w:sz="0" w:space="0" w:color="auto"/>
        <w:left w:val="none" w:sz="0" w:space="0" w:color="auto"/>
        <w:bottom w:val="none" w:sz="0" w:space="0" w:color="auto"/>
        <w:right w:val="none" w:sz="0" w:space="0" w:color="auto"/>
      </w:divBdr>
      <w:divsChild>
        <w:div w:id="1366717300">
          <w:marLeft w:val="0"/>
          <w:marRight w:val="0"/>
          <w:marTop w:val="0"/>
          <w:marBottom w:val="0"/>
          <w:divBdr>
            <w:top w:val="none" w:sz="0" w:space="0" w:color="auto"/>
            <w:left w:val="none" w:sz="0" w:space="0" w:color="auto"/>
            <w:bottom w:val="none" w:sz="0" w:space="0" w:color="auto"/>
            <w:right w:val="none" w:sz="0" w:space="0" w:color="auto"/>
          </w:divBdr>
          <w:divsChild>
            <w:div w:id="7795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379">
      <w:bodyDiv w:val="1"/>
      <w:marLeft w:val="0"/>
      <w:marRight w:val="0"/>
      <w:marTop w:val="0"/>
      <w:marBottom w:val="0"/>
      <w:divBdr>
        <w:top w:val="none" w:sz="0" w:space="0" w:color="auto"/>
        <w:left w:val="none" w:sz="0" w:space="0" w:color="auto"/>
        <w:bottom w:val="none" w:sz="0" w:space="0" w:color="auto"/>
        <w:right w:val="none" w:sz="0" w:space="0" w:color="auto"/>
      </w:divBdr>
      <w:divsChild>
        <w:div w:id="112795142">
          <w:marLeft w:val="0"/>
          <w:marRight w:val="0"/>
          <w:marTop w:val="0"/>
          <w:marBottom w:val="0"/>
          <w:divBdr>
            <w:top w:val="none" w:sz="0" w:space="0" w:color="auto"/>
            <w:left w:val="none" w:sz="0" w:space="0" w:color="auto"/>
            <w:bottom w:val="none" w:sz="0" w:space="0" w:color="auto"/>
            <w:right w:val="none" w:sz="0" w:space="0" w:color="auto"/>
          </w:divBdr>
          <w:divsChild>
            <w:div w:id="9103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4822">
      <w:bodyDiv w:val="1"/>
      <w:marLeft w:val="0"/>
      <w:marRight w:val="0"/>
      <w:marTop w:val="0"/>
      <w:marBottom w:val="0"/>
      <w:divBdr>
        <w:top w:val="none" w:sz="0" w:space="0" w:color="auto"/>
        <w:left w:val="none" w:sz="0" w:space="0" w:color="auto"/>
        <w:bottom w:val="none" w:sz="0" w:space="0" w:color="auto"/>
        <w:right w:val="none" w:sz="0" w:space="0" w:color="auto"/>
      </w:divBdr>
      <w:divsChild>
        <w:div w:id="163932320">
          <w:marLeft w:val="0"/>
          <w:marRight w:val="0"/>
          <w:marTop w:val="0"/>
          <w:marBottom w:val="0"/>
          <w:divBdr>
            <w:top w:val="none" w:sz="0" w:space="0" w:color="auto"/>
            <w:left w:val="none" w:sz="0" w:space="0" w:color="auto"/>
            <w:bottom w:val="none" w:sz="0" w:space="0" w:color="auto"/>
            <w:right w:val="none" w:sz="0" w:space="0" w:color="auto"/>
          </w:divBdr>
          <w:divsChild>
            <w:div w:id="1928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050">
      <w:bodyDiv w:val="1"/>
      <w:marLeft w:val="0"/>
      <w:marRight w:val="0"/>
      <w:marTop w:val="0"/>
      <w:marBottom w:val="0"/>
      <w:divBdr>
        <w:top w:val="none" w:sz="0" w:space="0" w:color="auto"/>
        <w:left w:val="none" w:sz="0" w:space="0" w:color="auto"/>
        <w:bottom w:val="none" w:sz="0" w:space="0" w:color="auto"/>
        <w:right w:val="none" w:sz="0" w:space="0" w:color="auto"/>
      </w:divBdr>
      <w:divsChild>
        <w:div w:id="1960329984">
          <w:marLeft w:val="0"/>
          <w:marRight w:val="0"/>
          <w:marTop w:val="0"/>
          <w:marBottom w:val="0"/>
          <w:divBdr>
            <w:top w:val="none" w:sz="0" w:space="0" w:color="auto"/>
            <w:left w:val="none" w:sz="0" w:space="0" w:color="auto"/>
            <w:bottom w:val="none" w:sz="0" w:space="0" w:color="auto"/>
            <w:right w:val="none" w:sz="0" w:space="0" w:color="auto"/>
          </w:divBdr>
          <w:divsChild>
            <w:div w:id="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4210">
      <w:bodyDiv w:val="1"/>
      <w:marLeft w:val="0"/>
      <w:marRight w:val="0"/>
      <w:marTop w:val="0"/>
      <w:marBottom w:val="0"/>
      <w:divBdr>
        <w:top w:val="none" w:sz="0" w:space="0" w:color="auto"/>
        <w:left w:val="none" w:sz="0" w:space="0" w:color="auto"/>
        <w:bottom w:val="none" w:sz="0" w:space="0" w:color="auto"/>
        <w:right w:val="none" w:sz="0" w:space="0" w:color="auto"/>
      </w:divBdr>
      <w:divsChild>
        <w:div w:id="679816141">
          <w:marLeft w:val="0"/>
          <w:marRight w:val="0"/>
          <w:marTop w:val="0"/>
          <w:marBottom w:val="0"/>
          <w:divBdr>
            <w:top w:val="none" w:sz="0" w:space="0" w:color="auto"/>
            <w:left w:val="none" w:sz="0" w:space="0" w:color="auto"/>
            <w:bottom w:val="none" w:sz="0" w:space="0" w:color="auto"/>
            <w:right w:val="none" w:sz="0" w:space="0" w:color="auto"/>
          </w:divBdr>
          <w:divsChild>
            <w:div w:id="1317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162">
      <w:bodyDiv w:val="1"/>
      <w:marLeft w:val="0"/>
      <w:marRight w:val="0"/>
      <w:marTop w:val="0"/>
      <w:marBottom w:val="0"/>
      <w:divBdr>
        <w:top w:val="none" w:sz="0" w:space="0" w:color="auto"/>
        <w:left w:val="none" w:sz="0" w:space="0" w:color="auto"/>
        <w:bottom w:val="none" w:sz="0" w:space="0" w:color="auto"/>
        <w:right w:val="none" w:sz="0" w:space="0" w:color="auto"/>
      </w:divBdr>
      <w:divsChild>
        <w:div w:id="488983900">
          <w:marLeft w:val="0"/>
          <w:marRight w:val="0"/>
          <w:marTop w:val="0"/>
          <w:marBottom w:val="0"/>
          <w:divBdr>
            <w:top w:val="none" w:sz="0" w:space="0" w:color="auto"/>
            <w:left w:val="none" w:sz="0" w:space="0" w:color="auto"/>
            <w:bottom w:val="none" w:sz="0" w:space="0" w:color="auto"/>
            <w:right w:val="none" w:sz="0" w:space="0" w:color="auto"/>
          </w:divBdr>
          <w:divsChild>
            <w:div w:id="41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233">
      <w:bodyDiv w:val="1"/>
      <w:marLeft w:val="0"/>
      <w:marRight w:val="0"/>
      <w:marTop w:val="0"/>
      <w:marBottom w:val="0"/>
      <w:divBdr>
        <w:top w:val="none" w:sz="0" w:space="0" w:color="auto"/>
        <w:left w:val="none" w:sz="0" w:space="0" w:color="auto"/>
        <w:bottom w:val="none" w:sz="0" w:space="0" w:color="auto"/>
        <w:right w:val="none" w:sz="0" w:space="0" w:color="auto"/>
      </w:divBdr>
      <w:divsChild>
        <w:div w:id="2104955024">
          <w:marLeft w:val="0"/>
          <w:marRight w:val="0"/>
          <w:marTop w:val="0"/>
          <w:marBottom w:val="0"/>
          <w:divBdr>
            <w:top w:val="none" w:sz="0" w:space="0" w:color="auto"/>
            <w:left w:val="none" w:sz="0" w:space="0" w:color="auto"/>
            <w:bottom w:val="none" w:sz="0" w:space="0" w:color="auto"/>
            <w:right w:val="none" w:sz="0" w:space="0" w:color="auto"/>
          </w:divBdr>
          <w:divsChild>
            <w:div w:id="20025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8134">
      <w:bodyDiv w:val="1"/>
      <w:marLeft w:val="0"/>
      <w:marRight w:val="0"/>
      <w:marTop w:val="0"/>
      <w:marBottom w:val="0"/>
      <w:divBdr>
        <w:top w:val="none" w:sz="0" w:space="0" w:color="auto"/>
        <w:left w:val="none" w:sz="0" w:space="0" w:color="auto"/>
        <w:bottom w:val="none" w:sz="0" w:space="0" w:color="auto"/>
        <w:right w:val="none" w:sz="0" w:space="0" w:color="auto"/>
      </w:divBdr>
    </w:div>
    <w:div w:id="1744840842">
      <w:bodyDiv w:val="1"/>
      <w:marLeft w:val="0"/>
      <w:marRight w:val="0"/>
      <w:marTop w:val="0"/>
      <w:marBottom w:val="0"/>
      <w:divBdr>
        <w:top w:val="none" w:sz="0" w:space="0" w:color="auto"/>
        <w:left w:val="none" w:sz="0" w:space="0" w:color="auto"/>
        <w:bottom w:val="none" w:sz="0" w:space="0" w:color="auto"/>
        <w:right w:val="none" w:sz="0" w:space="0" w:color="auto"/>
      </w:divBdr>
      <w:divsChild>
        <w:div w:id="1631208672">
          <w:marLeft w:val="0"/>
          <w:marRight w:val="0"/>
          <w:marTop w:val="0"/>
          <w:marBottom w:val="0"/>
          <w:divBdr>
            <w:top w:val="none" w:sz="0" w:space="0" w:color="auto"/>
            <w:left w:val="none" w:sz="0" w:space="0" w:color="auto"/>
            <w:bottom w:val="none" w:sz="0" w:space="0" w:color="auto"/>
            <w:right w:val="none" w:sz="0" w:space="0" w:color="auto"/>
          </w:divBdr>
          <w:divsChild>
            <w:div w:id="518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815">
      <w:bodyDiv w:val="1"/>
      <w:marLeft w:val="0"/>
      <w:marRight w:val="0"/>
      <w:marTop w:val="0"/>
      <w:marBottom w:val="0"/>
      <w:divBdr>
        <w:top w:val="none" w:sz="0" w:space="0" w:color="auto"/>
        <w:left w:val="none" w:sz="0" w:space="0" w:color="auto"/>
        <w:bottom w:val="none" w:sz="0" w:space="0" w:color="auto"/>
        <w:right w:val="none" w:sz="0" w:space="0" w:color="auto"/>
      </w:divBdr>
      <w:divsChild>
        <w:div w:id="970865571">
          <w:marLeft w:val="0"/>
          <w:marRight w:val="0"/>
          <w:marTop w:val="0"/>
          <w:marBottom w:val="0"/>
          <w:divBdr>
            <w:top w:val="none" w:sz="0" w:space="0" w:color="auto"/>
            <w:left w:val="none" w:sz="0" w:space="0" w:color="auto"/>
            <w:bottom w:val="none" w:sz="0" w:space="0" w:color="auto"/>
            <w:right w:val="none" w:sz="0" w:space="0" w:color="auto"/>
          </w:divBdr>
          <w:divsChild>
            <w:div w:id="18193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5555">
      <w:bodyDiv w:val="1"/>
      <w:marLeft w:val="0"/>
      <w:marRight w:val="0"/>
      <w:marTop w:val="0"/>
      <w:marBottom w:val="0"/>
      <w:divBdr>
        <w:top w:val="none" w:sz="0" w:space="0" w:color="auto"/>
        <w:left w:val="none" w:sz="0" w:space="0" w:color="auto"/>
        <w:bottom w:val="none" w:sz="0" w:space="0" w:color="auto"/>
        <w:right w:val="none" w:sz="0" w:space="0" w:color="auto"/>
      </w:divBdr>
      <w:divsChild>
        <w:div w:id="1510482669">
          <w:marLeft w:val="0"/>
          <w:marRight w:val="0"/>
          <w:marTop w:val="0"/>
          <w:marBottom w:val="0"/>
          <w:divBdr>
            <w:top w:val="none" w:sz="0" w:space="0" w:color="auto"/>
            <w:left w:val="none" w:sz="0" w:space="0" w:color="auto"/>
            <w:bottom w:val="none" w:sz="0" w:space="0" w:color="auto"/>
            <w:right w:val="none" w:sz="0" w:space="0" w:color="auto"/>
          </w:divBdr>
          <w:divsChild>
            <w:div w:id="990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3577">
      <w:bodyDiv w:val="1"/>
      <w:marLeft w:val="0"/>
      <w:marRight w:val="0"/>
      <w:marTop w:val="0"/>
      <w:marBottom w:val="0"/>
      <w:divBdr>
        <w:top w:val="none" w:sz="0" w:space="0" w:color="auto"/>
        <w:left w:val="none" w:sz="0" w:space="0" w:color="auto"/>
        <w:bottom w:val="none" w:sz="0" w:space="0" w:color="auto"/>
        <w:right w:val="none" w:sz="0" w:space="0" w:color="auto"/>
      </w:divBdr>
      <w:divsChild>
        <w:div w:id="94637930">
          <w:marLeft w:val="0"/>
          <w:marRight w:val="0"/>
          <w:marTop w:val="0"/>
          <w:marBottom w:val="0"/>
          <w:divBdr>
            <w:top w:val="none" w:sz="0" w:space="0" w:color="auto"/>
            <w:left w:val="none" w:sz="0" w:space="0" w:color="auto"/>
            <w:bottom w:val="none" w:sz="0" w:space="0" w:color="auto"/>
            <w:right w:val="none" w:sz="0" w:space="0" w:color="auto"/>
          </w:divBdr>
          <w:divsChild>
            <w:div w:id="11458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9692">
      <w:bodyDiv w:val="1"/>
      <w:marLeft w:val="0"/>
      <w:marRight w:val="0"/>
      <w:marTop w:val="0"/>
      <w:marBottom w:val="0"/>
      <w:divBdr>
        <w:top w:val="none" w:sz="0" w:space="0" w:color="auto"/>
        <w:left w:val="none" w:sz="0" w:space="0" w:color="auto"/>
        <w:bottom w:val="none" w:sz="0" w:space="0" w:color="auto"/>
        <w:right w:val="none" w:sz="0" w:space="0" w:color="auto"/>
      </w:divBdr>
    </w:div>
    <w:div w:id="1795633305">
      <w:bodyDiv w:val="1"/>
      <w:marLeft w:val="0"/>
      <w:marRight w:val="0"/>
      <w:marTop w:val="0"/>
      <w:marBottom w:val="0"/>
      <w:divBdr>
        <w:top w:val="none" w:sz="0" w:space="0" w:color="auto"/>
        <w:left w:val="none" w:sz="0" w:space="0" w:color="auto"/>
        <w:bottom w:val="none" w:sz="0" w:space="0" w:color="auto"/>
        <w:right w:val="none" w:sz="0" w:space="0" w:color="auto"/>
      </w:divBdr>
      <w:divsChild>
        <w:div w:id="1998462150">
          <w:marLeft w:val="0"/>
          <w:marRight w:val="0"/>
          <w:marTop w:val="0"/>
          <w:marBottom w:val="0"/>
          <w:divBdr>
            <w:top w:val="none" w:sz="0" w:space="0" w:color="auto"/>
            <w:left w:val="none" w:sz="0" w:space="0" w:color="auto"/>
            <w:bottom w:val="none" w:sz="0" w:space="0" w:color="auto"/>
            <w:right w:val="none" w:sz="0" w:space="0" w:color="auto"/>
          </w:divBdr>
          <w:divsChild>
            <w:div w:id="16452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2160">
      <w:bodyDiv w:val="1"/>
      <w:marLeft w:val="0"/>
      <w:marRight w:val="0"/>
      <w:marTop w:val="0"/>
      <w:marBottom w:val="0"/>
      <w:divBdr>
        <w:top w:val="none" w:sz="0" w:space="0" w:color="auto"/>
        <w:left w:val="none" w:sz="0" w:space="0" w:color="auto"/>
        <w:bottom w:val="none" w:sz="0" w:space="0" w:color="auto"/>
        <w:right w:val="none" w:sz="0" w:space="0" w:color="auto"/>
      </w:divBdr>
      <w:divsChild>
        <w:div w:id="1974750046">
          <w:marLeft w:val="0"/>
          <w:marRight w:val="0"/>
          <w:marTop w:val="0"/>
          <w:marBottom w:val="0"/>
          <w:divBdr>
            <w:top w:val="none" w:sz="0" w:space="0" w:color="auto"/>
            <w:left w:val="none" w:sz="0" w:space="0" w:color="auto"/>
            <w:bottom w:val="none" w:sz="0" w:space="0" w:color="auto"/>
            <w:right w:val="none" w:sz="0" w:space="0" w:color="auto"/>
          </w:divBdr>
          <w:divsChild>
            <w:div w:id="748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833">
      <w:bodyDiv w:val="1"/>
      <w:marLeft w:val="0"/>
      <w:marRight w:val="0"/>
      <w:marTop w:val="0"/>
      <w:marBottom w:val="0"/>
      <w:divBdr>
        <w:top w:val="none" w:sz="0" w:space="0" w:color="auto"/>
        <w:left w:val="none" w:sz="0" w:space="0" w:color="auto"/>
        <w:bottom w:val="none" w:sz="0" w:space="0" w:color="auto"/>
        <w:right w:val="none" w:sz="0" w:space="0" w:color="auto"/>
      </w:divBdr>
      <w:divsChild>
        <w:div w:id="1903709622">
          <w:marLeft w:val="0"/>
          <w:marRight w:val="0"/>
          <w:marTop w:val="0"/>
          <w:marBottom w:val="0"/>
          <w:divBdr>
            <w:top w:val="none" w:sz="0" w:space="0" w:color="auto"/>
            <w:left w:val="none" w:sz="0" w:space="0" w:color="auto"/>
            <w:bottom w:val="none" w:sz="0" w:space="0" w:color="auto"/>
            <w:right w:val="none" w:sz="0" w:space="0" w:color="auto"/>
          </w:divBdr>
          <w:divsChild>
            <w:div w:id="18193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684">
      <w:bodyDiv w:val="1"/>
      <w:marLeft w:val="0"/>
      <w:marRight w:val="0"/>
      <w:marTop w:val="0"/>
      <w:marBottom w:val="0"/>
      <w:divBdr>
        <w:top w:val="none" w:sz="0" w:space="0" w:color="auto"/>
        <w:left w:val="none" w:sz="0" w:space="0" w:color="auto"/>
        <w:bottom w:val="none" w:sz="0" w:space="0" w:color="auto"/>
        <w:right w:val="none" w:sz="0" w:space="0" w:color="auto"/>
      </w:divBdr>
      <w:divsChild>
        <w:div w:id="8146305">
          <w:marLeft w:val="0"/>
          <w:marRight w:val="0"/>
          <w:marTop w:val="0"/>
          <w:marBottom w:val="0"/>
          <w:divBdr>
            <w:top w:val="none" w:sz="0" w:space="0" w:color="auto"/>
            <w:left w:val="none" w:sz="0" w:space="0" w:color="auto"/>
            <w:bottom w:val="none" w:sz="0" w:space="0" w:color="auto"/>
            <w:right w:val="none" w:sz="0" w:space="0" w:color="auto"/>
          </w:divBdr>
          <w:divsChild>
            <w:div w:id="2840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8721">
      <w:bodyDiv w:val="1"/>
      <w:marLeft w:val="0"/>
      <w:marRight w:val="0"/>
      <w:marTop w:val="0"/>
      <w:marBottom w:val="0"/>
      <w:divBdr>
        <w:top w:val="none" w:sz="0" w:space="0" w:color="auto"/>
        <w:left w:val="none" w:sz="0" w:space="0" w:color="auto"/>
        <w:bottom w:val="none" w:sz="0" w:space="0" w:color="auto"/>
        <w:right w:val="none" w:sz="0" w:space="0" w:color="auto"/>
      </w:divBdr>
      <w:divsChild>
        <w:div w:id="514731174">
          <w:marLeft w:val="0"/>
          <w:marRight w:val="0"/>
          <w:marTop w:val="0"/>
          <w:marBottom w:val="0"/>
          <w:divBdr>
            <w:top w:val="none" w:sz="0" w:space="0" w:color="auto"/>
            <w:left w:val="none" w:sz="0" w:space="0" w:color="auto"/>
            <w:bottom w:val="none" w:sz="0" w:space="0" w:color="auto"/>
            <w:right w:val="none" w:sz="0" w:space="0" w:color="auto"/>
          </w:divBdr>
          <w:divsChild>
            <w:div w:id="14168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741">
      <w:bodyDiv w:val="1"/>
      <w:marLeft w:val="0"/>
      <w:marRight w:val="0"/>
      <w:marTop w:val="0"/>
      <w:marBottom w:val="0"/>
      <w:divBdr>
        <w:top w:val="none" w:sz="0" w:space="0" w:color="auto"/>
        <w:left w:val="none" w:sz="0" w:space="0" w:color="auto"/>
        <w:bottom w:val="none" w:sz="0" w:space="0" w:color="auto"/>
        <w:right w:val="none" w:sz="0" w:space="0" w:color="auto"/>
      </w:divBdr>
      <w:divsChild>
        <w:div w:id="1404915203">
          <w:marLeft w:val="0"/>
          <w:marRight w:val="0"/>
          <w:marTop w:val="0"/>
          <w:marBottom w:val="0"/>
          <w:divBdr>
            <w:top w:val="none" w:sz="0" w:space="0" w:color="auto"/>
            <w:left w:val="none" w:sz="0" w:space="0" w:color="auto"/>
            <w:bottom w:val="none" w:sz="0" w:space="0" w:color="auto"/>
            <w:right w:val="none" w:sz="0" w:space="0" w:color="auto"/>
          </w:divBdr>
          <w:divsChild>
            <w:div w:id="15475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5677">
      <w:bodyDiv w:val="1"/>
      <w:marLeft w:val="0"/>
      <w:marRight w:val="0"/>
      <w:marTop w:val="0"/>
      <w:marBottom w:val="0"/>
      <w:divBdr>
        <w:top w:val="none" w:sz="0" w:space="0" w:color="auto"/>
        <w:left w:val="none" w:sz="0" w:space="0" w:color="auto"/>
        <w:bottom w:val="none" w:sz="0" w:space="0" w:color="auto"/>
        <w:right w:val="none" w:sz="0" w:space="0" w:color="auto"/>
      </w:divBdr>
      <w:divsChild>
        <w:div w:id="1072970709">
          <w:marLeft w:val="0"/>
          <w:marRight w:val="0"/>
          <w:marTop w:val="0"/>
          <w:marBottom w:val="0"/>
          <w:divBdr>
            <w:top w:val="none" w:sz="0" w:space="0" w:color="auto"/>
            <w:left w:val="none" w:sz="0" w:space="0" w:color="auto"/>
            <w:bottom w:val="none" w:sz="0" w:space="0" w:color="auto"/>
            <w:right w:val="none" w:sz="0" w:space="0" w:color="auto"/>
          </w:divBdr>
          <w:divsChild>
            <w:div w:id="8832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6871">
      <w:bodyDiv w:val="1"/>
      <w:marLeft w:val="0"/>
      <w:marRight w:val="0"/>
      <w:marTop w:val="0"/>
      <w:marBottom w:val="0"/>
      <w:divBdr>
        <w:top w:val="none" w:sz="0" w:space="0" w:color="auto"/>
        <w:left w:val="none" w:sz="0" w:space="0" w:color="auto"/>
        <w:bottom w:val="none" w:sz="0" w:space="0" w:color="auto"/>
        <w:right w:val="none" w:sz="0" w:space="0" w:color="auto"/>
      </w:divBdr>
      <w:divsChild>
        <w:div w:id="157696358">
          <w:marLeft w:val="0"/>
          <w:marRight w:val="0"/>
          <w:marTop w:val="0"/>
          <w:marBottom w:val="0"/>
          <w:divBdr>
            <w:top w:val="none" w:sz="0" w:space="0" w:color="auto"/>
            <w:left w:val="none" w:sz="0" w:space="0" w:color="auto"/>
            <w:bottom w:val="none" w:sz="0" w:space="0" w:color="auto"/>
            <w:right w:val="none" w:sz="0" w:space="0" w:color="auto"/>
          </w:divBdr>
          <w:divsChild>
            <w:div w:id="647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675">
      <w:bodyDiv w:val="1"/>
      <w:marLeft w:val="0"/>
      <w:marRight w:val="0"/>
      <w:marTop w:val="0"/>
      <w:marBottom w:val="0"/>
      <w:divBdr>
        <w:top w:val="none" w:sz="0" w:space="0" w:color="auto"/>
        <w:left w:val="none" w:sz="0" w:space="0" w:color="auto"/>
        <w:bottom w:val="none" w:sz="0" w:space="0" w:color="auto"/>
        <w:right w:val="none" w:sz="0" w:space="0" w:color="auto"/>
      </w:divBdr>
      <w:divsChild>
        <w:div w:id="1302268478">
          <w:marLeft w:val="0"/>
          <w:marRight w:val="0"/>
          <w:marTop w:val="0"/>
          <w:marBottom w:val="0"/>
          <w:divBdr>
            <w:top w:val="none" w:sz="0" w:space="0" w:color="auto"/>
            <w:left w:val="none" w:sz="0" w:space="0" w:color="auto"/>
            <w:bottom w:val="none" w:sz="0" w:space="0" w:color="auto"/>
            <w:right w:val="none" w:sz="0" w:space="0" w:color="auto"/>
          </w:divBdr>
          <w:divsChild>
            <w:div w:id="2445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76942">
      <w:bodyDiv w:val="1"/>
      <w:marLeft w:val="0"/>
      <w:marRight w:val="0"/>
      <w:marTop w:val="0"/>
      <w:marBottom w:val="0"/>
      <w:divBdr>
        <w:top w:val="none" w:sz="0" w:space="0" w:color="auto"/>
        <w:left w:val="none" w:sz="0" w:space="0" w:color="auto"/>
        <w:bottom w:val="none" w:sz="0" w:space="0" w:color="auto"/>
        <w:right w:val="none" w:sz="0" w:space="0" w:color="auto"/>
      </w:divBdr>
      <w:divsChild>
        <w:div w:id="1323195929">
          <w:marLeft w:val="0"/>
          <w:marRight w:val="0"/>
          <w:marTop w:val="0"/>
          <w:marBottom w:val="0"/>
          <w:divBdr>
            <w:top w:val="none" w:sz="0" w:space="0" w:color="auto"/>
            <w:left w:val="none" w:sz="0" w:space="0" w:color="auto"/>
            <w:bottom w:val="none" w:sz="0" w:space="0" w:color="auto"/>
            <w:right w:val="none" w:sz="0" w:space="0" w:color="auto"/>
          </w:divBdr>
          <w:divsChild>
            <w:div w:id="1836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8602">
      <w:bodyDiv w:val="1"/>
      <w:marLeft w:val="0"/>
      <w:marRight w:val="0"/>
      <w:marTop w:val="0"/>
      <w:marBottom w:val="0"/>
      <w:divBdr>
        <w:top w:val="none" w:sz="0" w:space="0" w:color="auto"/>
        <w:left w:val="none" w:sz="0" w:space="0" w:color="auto"/>
        <w:bottom w:val="none" w:sz="0" w:space="0" w:color="auto"/>
        <w:right w:val="none" w:sz="0" w:space="0" w:color="auto"/>
      </w:divBdr>
      <w:divsChild>
        <w:div w:id="477038265">
          <w:marLeft w:val="0"/>
          <w:marRight w:val="0"/>
          <w:marTop w:val="0"/>
          <w:marBottom w:val="0"/>
          <w:divBdr>
            <w:top w:val="none" w:sz="0" w:space="0" w:color="auto"/>
            <w:left w:val="none" w:sz="0" w:space="0" w:color="auto"/>
            <w:bottom w:val="none" w:sz="0" w:space="0" w:color="auto"/>
            <w:right w:val="none" w:sz="0" w:space="0" w:color="auto"/>
          </w:divBdr>
          <w:divsChild>
            <w:div w:id="18596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968">
      <w:bodyDiv w:val="1"/>
      <w:marLeft w:val="0"/>
      <w:marRight w:val="0"/>
      <w:marTop w:val="0"/>
      <w:marBottom w:val="0"/>
      <w:divBdr>
        <w:top w:val="none" w:sz="0" w:space="0" w:color="auto"/>
        <w:left w:val="none" w:sz="0" w:space="0" w:color="auto"/>
        <w:bottom w:val="none" w:sz="0" w:space="0" w:color="auto"/>
        <w:right w:val="none" w:sz="0" w:space="0" w:color="auto"/>
      </w:divBdr>
      <w:divsChild>
        <w:div w:id="253057484">
          <w:marLeft w:val="0"/>
          <w:marRight w:val="0"/>
          <w:marTop w:val="0"/>
          <w:marBottom w:val="0"/>
          <w:divBdr>
            <w:top w:val="none" w:sz="0" w:space="0" w:color="auto"/>
            <w:left w:val="none" w:sz="0" w:space="0" w:color="auto"/>
            <w:bottom w:val="none" w:sz="0" w:space="0" w:color="auto"/>
            <w:right w:val="none" w:sz="0" w:space="0" w:color="auto"/>
          </w:divBdr>
          <w:divsChild>
            <w:div w:id="12261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702">
      <w:bodyDiv w:val="1"/>
      <w:marLeft w:val="0"/>
      <w:marRight w:val="0"/>
      <w:marTop w:val="0"/>
      <w:marBottom w:val="0"/>
      <w:divBdr>
        <w:top w:val="none" w:sz="0" w:space="0" w:color="auto"/>
        <w:left w:val="none" w:sz="0" w:space="0" w:color="auto"/>
        <w:bottom w:val="none" w:sz="0" w:space="0" w:color="auto"/>
        <w:right w:val="none" w:sz="0" w:space="0" w:color="auto"/>
      </w:divBdr>
      <w:divsChild>
        <w:div w:id="849181458">
          <w:marLeft w:val="0"/>
          <w:marRight w:val="0"/>
          <w:marTop w:val="0"/>
          <w:marBottom w:val="0"/>
          <w:divBdr>
            <w:top w:val="none" w:sz="0" w:space="0" w:color="auto"/>
            <w:left w:val="none" w:sz="0" w:space="0" w:color="auto"/>
            <w:bottom w:val="none" w:sz="0" w:space="0" w:color="auto"/>
            <w:right w:val="none" w:sz="0" w:space="0" w:color="auto"/>
          </w:divBdr>
          <w:divsChild>
            <w:div w:id="660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9413">
      <w:bodyDiv w:val="1"/>
      <w:marLeft w:val="0"/>
      <w:marRight w:val="0"/>
      <w:marTop w:val="0"/>
      <w:marBottom w:val="0"/>
      <w:divBdr>
        <w:top w:val="none" w:sz="0" w:space="0" w:color="auto"/>
        <w:left w:val="none" w:sz="0" w:space="0" w:color="auto"/>
        <w:bottom w:val="none" w:sz="0" w:space="0" w:color="auto"/>
        <w:right w:val="none" w:sz="0" w:space="0" w:color="auto"/>
      </w:divBdr>
      <w:divsChild>
        <w:div w:id="724262642">
          <w:marLeft w:val="0"/>
          <w:marRight w:val="0"/>
          <w:marTop w:val="0"/>
          <w:marBottom w:val="0"/>
          <w:divBdr>
            <w:top w:val="none" w:sz="0" w:space="0" w:color="auto"/>
            <w:left w:val="none" w:sz="0" w:space="0" w:color="auto"/>
            <w:bottom w:val="none" w:sz="0" w:space="0" w:color="auto"/>
            <w:right w:val="none" w:sz="0" w:space="0" w:color="auto"/>
          </w:divBdr>
          <w:divsChild>
            <w:div w:id="7732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3692">
      <w:bodyDiv w:val="1"/>
      <w:marLeft w:val="0"/>
      <w:marRight w:val="0"/>
      <w:marTop w:val="0"/>
      <w:marBottom w:val="0"/>
      <w:divBdr>
        <w:top w:val="none" w:sz="0" w:space="0" w:color="auto"/>
        <w:left w:val="none" w:sz="0" w:space="0" w:color="auto"/>
        <w:bottom w:val="none" w:sz="0" w:space="0" w:color="auto"/>
        <w:right w:val="none" w:sz="0" w:space="0" w:color="auto"/>
      </w:divBdr>
      <w:divsChild>
        <w:div w:id="591014801">
          <w:marLeft w:val="0"/>
          <w:marRight w:val="0"/>
          <w:marTop w:val="0"/>
          <w:marBottom w:val="0"/>
          <w:divBdr>
            <w:top w:val="none" w:sz="0" w:space="0" w:color="auto"/>
            <w:left w:val="none" w:sz="0" w:space="0" w:color="auto"/>
            <w:bottom w:val="none" w:sz="0" w:space="0" w:color="auto"/>
            <w:right w:val="none" w:sz="0" w:space="0" w:color="auto"/>
          </w:divBdr>
          <w:divsChild>
            <w:div w:id="1909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8790-5F2F-4B0E-80CF-02D6DC5D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64</Pages>
  <Words>19507</Words>
  <Characters>111191</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 Gugliuzza</dc:creator>
  <cp:lastModifiedBy>Gugliuzza, Paul R.</cp:lastModifiedBy>
  <cp:revision>5</cp:revision>
  <cp:lastPrinted>2015-10-30T15:07:00Z</cp:lastPrinted>
  <dcterms:created xsi:type="dcterms:W3CDTF">2015-10-30T14:42:00Z</dcterms:created>
  <dcterms:modified xsi:type="dcterms:W3CDTF">2015-10-30T20:03:00Z</dcterms:modified>
</cp:coreProperties>
</file>